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101CBA">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en-U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n-U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101CBA">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101CBA">
        <w:trPr>
          <w:trHeight w:val="68"/>
          <w:jc w:val="center"/>
        </w:trPr>
        <w:tc>
          <w:tcPr>
            <w:tcW w:w="8782"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750F206" w14:textId="06D389C7" w:rsidR="00101CBA" w:rsidRPr="00102837" w:rsidRDefault="00101CBA" w:rsidP="00F05A03">
      <w:pPr>
        <w:pStyle w:val="CETHeadingxx"/>
        <w:jc w:val="center"/>
        <w:rPr>
          <w:b w:val="0"/>
          <w:bCs/>
          <w:sz w:val="28"/>
          <w:szCs w:val="32"/>
        </w:rPr>
      </w:pPr>
      <w:r w:rsidRPr="00102837">
        <w:rPr>
          <w:b w:val="0"/>
          <w:bCs/>
          <w:sz w:val="28"/>
          <w:szCs w:val="32"/>
        </w:rPr>
        <w:t xml:space="preserve">Thermal decomposition behavior and kinetics of </w:t>
      </w:r>
      <w:r w:rsidR="00242C6A" w:rsidRPr="00102837">
        <w:rPr>
          <w:b w:val="0"/>
          <w:bCs/>
          <w:sz w:val="28"/>
          <w:szCs w:val="32"/>
        </w:rPr>
        <w:t>N</w:t>
      </w:r>
      <w:r w:rsidRPr="00102837">
        <w:rPr>
          <w:b w:val="0"/>
          <w:bCs/>
          <w:sz w:val="28"/>
          <w:szCs w:val="32"/>
        </w:rPr>
        <w:t>it</w:t>
      </w:r>
      <w:r w:rsidR="0008725A" w:rsidRPr="00102837">
        <w:rPr>
          <w:b w:val="0"/>
          <w:bCs/>
          <w:sz w:val="28"/>
          <w:szCs w:val="32"/>
        </w:rPr>
        <w:t xml:space="preserve">rocellulose in the presence of </w:t>
      </w:r>
      <w:r w:rsidR="0008725A" w:rsidRPr="00102837">
        <w:rPr>
          <w:b w:val="0"/>
          <w:bCs/>
          <w:sz w:val="28"/>
          <w:szCs w:val="32"/>
          <w:highlight w:val="yellow"/>
          <w:lang w:val="en-GB"/>
        </w:rPr>
        <w:t>Cobalt Oxide</w:t>
      </w:r>
      <w:r w:rsidR="0008725A" w:rsidRPr="00102837">
        <w:rPr>
          <w:b w:val="0"/>
          <w:bCs/>
          <w:sz w:val="28"/>
          <w:szCs w:val="32"/>
          <w:lang w:val="en-GB"/>
        </w:rPr>
        <w:t xml:space="preserve"> Supported on Activated Carbon</w:t>
      </w:r>
    </w:p>
    <w:p w14:paraId="0488FED2" w14:textId="311505D2" w:rsidR="00B57E6F" w:rsidRPr="00242C6A" w:rsidRDefault="00AA2C04" w:rsidP="00236B49">
      <w:pPr>
        <w:pStyle w:val="CETAuthors"/>
        <w:rPr>
          <w:sz w:val="22"/>
          <w:szCs w:val="18"/>
          <w:vertAlign w:val="superscript"/>
        </w:rPr>
      </w:pPr>
      <w:r w:rsidRPr="00242C6A">
        <w:rPr>
          <w:sz w:val="22"/>
          <w:szCs w:val="18"/>
        </w:rPr>
        <w:t>Mohammed Dourari*</w:t>
      </w:r>
      <w:r w:rsidR="00B57E6F" w:rsidRPr="00242C6A">
        <w:rPr>
          <w:sz w:val="22"/>
          <w:szCs w:val="18"/>
        </w:rPr>
        <w:t xml:space="preserve">, </w:t>
      </w:r>
      <w:r w:rsidRPr="00242C6A">
        <w:rPr>
          <w:sz w:val="22"/>
          <w:szCs w:val="18"/>
        </w:rPr>
        <w:t xml:space="preserve">Ahmed Fouzi Tarchoun, </w:t>
      </w:r>
      <w:r w:rsidR="00732ED7" w:rsidRPr="00242C6A">
        <w:rPr>
          <w:sz w:val="22"/>
          <w:szCs w:val="18"/>
        </w:rPr>
        <w:t>Djalal Trache, Tessnim Barkat</w:t>
      </w:r>
    </w:p>
    <w:p w14:paraId="06454DAB" w14:textId="6109098B" w:rsidR="001A6795" w:rsidRDefault="00732ED7" w:rsidP="00732ED7">
      <w:pPr>
        <w:pStyle w:val="CETAddress"/>
      </w:pPr>
      <w:r w:rsidRPr="00732ED7">
        <w:t xml:space="preserve">Energetic Materials Laboratory, Teaching and Research unit of Energetic Processes, Ecole Militaire Polytechnique, BP 17, Bordj El-Bahri, 16046, Algiers, Algeria. </w:t>
      </w:r>
    </w:p>
    <w:p w14:paraId="73F1267A" w14:textId="3B7EE763" w:rsidR="00B57E6F" w:rsidRPr="00C62E59" w:rsidRDefault="00267C71" w:rsidP="001A6795">
      <w:pPr>
        <w:pStyle w:val="CETemail"/>
        <w:rPr>
          <w:lang w:val="en-US"/>
        </w:rPr>
      </w:pPr>
      <w:hyperlink r:id="rId10" w:history="1">
        <w:r w:rsidR="00C218B1" w:rsidRPr="00C62E59">
          <w:rPr>
            <w:rStyle w:val="Lienhypertexte"/>
            <w:lang w:val="en-US"/>
          </w:rPr>
          <w:t>dourari.mohammed90@gmail.com</w:t>
        </w:r>
      </w:hyperlink>
    </w:p>
    <w:p w14:paraId="4488F3B6" w14:textId="1420C574" w:rsidR="00C218B1" w:rsidRDefault="007D59FA" w:rsidP="00960945">
      <w:pPr>
        <w:pStyle w:val="CETBodytext"/>
      </w:pPr>
      <w:r w:rsidRPr="007D59FA">
        <w:rPr>
          <w:lang w:val="en-GB"/>
        </w:rPr>
        <w:t xml:space="preserve">In this study, the catalytic effect of cobalt oxide (CoO) </w:t>
      </w:r>
      <w:r w:rsidR="00960945">
        <w:rPr>
          <w:lang w:val="en-GB"/>
        </w:rPr>
        <w:t>supported</w:t>
      </w:r>
      <w:r w:rsidRPr="007D59FA">
        <w:rPr>
          <w:lang w:val="en-GB"/>
        </w:rPr>
        <w:t xml:space="preserve"> onto activated carbon (AC) on the thermal behavior of nitrocellulose (NC) was investigated using differential scanning calorimetry (DSC) and three isoconversional kinetic methods. The successful grafting of CoO onto AC was confirmed through Fourier transform infrared spectroscopy (FTIR), X-ray diffraction (XRD), and adsorption-desorption isotherms. The thermal properties and reactivity of the NC/AC-CoO composite were comprehensively </w:t>
      </w:r>
      <w:r w:rsidRPr="007D59FA">
        <w:t>analyzed</w:t>
      </w:r>
      <w:r w:rsidRPr="007D59FA">
        <w:rPr>
          <w:lang w:val="en-GB"/>
        </w:rPr>
        <w:t xml:space="preserve"> using DSC, providing valuable insights into the composite's thermal decomposition behavior. Kinetic analysis revealed that the incorporation of AC-CoO significantly reduced the apparent activation energy of NC by up to 28%. These findings underscore the potential of AC-CoO as an effective additive for enhancing the catalytic combustion properties of NC, paving the way for future advancements in this field.</w:t>
      </w:r>
    </w:p>
    <w:p w14:paraId="37F1450F" w14:textId="77777777" w:rsidR="00482E32" w:rsidRPr="00B57B36" w:rsidRDefault="00482E32" w:rsidP="00443A16">
      <w:pPr>
        <w:pStyle w:val="CETHeading1"/>
        <w:rPr>
          <w:lang w:val="en-GB"/>
        </w:rPr>
      </w:pPr>
      <w:r w:rsidRPr="00B57B36">
        <w:rPr>
          <w:lang w:val="en-GB"/>
        </w:rPr>
        <w:t>Introduction</w:t>
      </w:r>
    </w:p>
    <w:p w14:paraId="32B006E8" w14:textId="1EB6256A" w:rsidR="007D34B9" w:rsidRDefault="00E62FDC" w:rsidP="00E941E0">
      <w:pPr>
        <w:pStyle w:val="CETBodytext"/>
      </w:pPr>
      <w:r w:rsidRPr="00E62FDC">
        <w:rPr>
          <w:lang w:val="en-GB"/>
        </w:rPr>
        <w:t xml:space="preserve">The investigation of </w:t>
      </w:r>
      <w:r>
        <w:rPr>
          <w:lang w:val="en-GB"/>
        </w:rPr>
        <w:t>energetic materials</w:t>
      </w:r>
      <w:r w:rsidRPr="00E62FDC">
        <w:rPr>
          <w:lang w:val="en-GB"/>
        </w:rPr>
        <w:t xml:space="preserve">, including nitrocellulose (NC), has attracted considerable interest due to their wide-ranging applications in both civilian and military domains. These materials are designed to rapidly release stored chemical energy upon exposure to thermal stimuli, mechanical shocks, or laser ignition. Recent research efforts have been directed toward </w:t>
      </w:r>
      <w:r w:rsidR="00B6628A" w:rsidRPr="00E62FDC">
        <w:rPr>
          <w:lang w:val="en-GB"/>
        </w:rPr>
        <w:t>analysing</w:t>
      </w:r>
      <w:r w:rsidRPr="00E62FDC">
        <w:rPr>
          <w:lang w:val="en-GB"/>
        </w:rPr>
        <w:t xml:space="preserve"> their decomposition and combustion behavior while seeking to enhance their energetic performance and </w:t>
      </w:r>
      <w:r w:rsidR="00622BED" w:rsidRPr="00E62FDC">
        <w:t>properties</w:t>
      </w:r>
      <w:r w:rsidR="004F441A">
        <w:t xml:space="preserve"> </w:t>
      </w:r>
      <w:r w:rsidR="00A15F64" w:rsidRPr="00923967">
        <w:fldChar w:fldCharType="begin"/>
      </w:r>
      <w:r w:rsidR="004F441A">
        <w:instrText xml:space="preserve"> ADDIN EN.CITE &lt;EndNote&gt;&lt;Cite&gt;&lt;Author&gt;Michalchuk&lt;/Author&gt;&lt;Year&gt;2021&lt;/Year&gt;&lt;RecNum&gt;2&lt;/RecNum&gt;&lt;DisplayText&gt;(binti Samsuri, binti Jamal, et al. 2024, Michalchuk, Hemingway, et al. 2021)&lt;/DisplayText&gt;&lt;record&gt;&lt;rec-number&gt;2&lt;/rec-number&gt;&lt;foreign-keys&gt;&lt;key app="EN" db-id="sdvpdv0smwr5wzetve1paxxrd52essr05fre"&gt;2&lt;/key&gt;&lt;/foreign-keys&gt;&lt;ref-type name="Journal Article"&gt;17&lt;/ref-type&gt;&lt;contributors&gt;&lt;authors&gt;&lt;author&gt;Michalchuk, Adam AL&lt;/author&gt;&lt;author&gt;Hemingway, Jack&lt;/author&gt;&lt;author&gt;Morrison, Carole A&lt;/author&gt;&lt;/authors&gt;&lt;/contributors&gt;&lt;titles&gt;&lt;title&gt;Predicting the impact sensitivities of energetic materials through zone-center phonon up-pumping&lt;/title&gt;&lt;secondary-title&gt;The Journal of Chemical Physics&lt;/secondary-title&gt;&lt;/titles&gt;&lt;volume&gt;154&lt;/volume&gt;&lt;number&gt;6&lt;/number&gt;&lt;dates&gt;&lt;year&gt;2021&lt;/year&gt;&lt;/dates&gt;&lt;isbn&gt;0021-9606&lt;/isbn&gt;&lt;urls&gt;&lt;/urls&gt;&lt;/record&gt;&lt;/Cite&gt;&lt;Cite&gt;&lt;Author&gt;binti Samsuri&lt;/Author&gt;&lt;Year&gt;2024&lt;/Year&gt;&lt;RecNum&gt;189&lt;/RecNum&gt;&lt;record&gt;&lt;rec-number&gt;189&lt;/rec-number&gt;&lt;foreign-keys&gt;&lt;key app="EN" db-id="sdvpdv0smwr5wzetve1paxxrd52essr05fre"&gt;189&lt;/key&gt;&lt;/foreign-keys&gt;&lt;ref-type name="Journal Article"&gt;17&lt;/ref-type&gt;&lt;contributors&gt;&lt;authors&gt;&lt;author&gt;binti Samsuri, Alinda&lt;/author&gt;&lt;author&gt;binti Jamal, Siti Hasnawati&lt;/author&gt;&lt;author&gt;binti Rusly, Siti Nor Ain&lt;/author&gt;&lt;author&gt;binti Ariff, Hafizah&lt;/author&gt;&lt;/authors&gt;&lt;/contributors&gt;&lt;titles&gt;&lt;title&gt;Key attributes of nitrocellulose-based energetic materials and recent developments&lt;/title&gt;&lt;secondary-title&gt;Heliyon&lt;/secondary-title&gt;&lt;/titles&gt;&lt;dates&gt;&lt;year&gt;2024&lt;/year&gt;&lt;/dates&gt;&lt;isbn&gt;2405-8440&lt;/isbn&gt;&lt;urls&gt;&lt;/urls&gt;&lt;/record&gt;&lt;/Cite&gt;&lt;/EndNote&gt;</w:instrText>
      </w:r>
      <w:r w:rsidR="00A15F64" w:rsidRPr="00923967">
        <w:fldChar w:fldCharType="separate"/>
      </w:r>
      <w:r w:rsidR="004F441A">
        <w:rPr>
          <w:noProof/>
        </w:rPr>
        <w:t>(</w:t>
      </w:r>
      <w:hyperlink w:anchor="_ENREF_6" w:tooltip="binti Samsuri, 2024 #189" w:history="1">
        <w:r w:rsidR="00E941E0">
          <w:rPr>
            <w:noProof/>
          </w:rPr>
          <w:t>binti Samsuri, binti Jamal, et al. 2024</w:t>
        </w:r>
      </w:hyperlink>
      <w:r w:rsidR="004F441A">
        <w:rPr>
          <w:noProof/>
        </w:rPr>
        <w:t xml:space="preserve">, </w:t>
      </w:r>
      <w:hyperlink w:anchor="_ENREF_16" w:tooltip="Michalchuk, 2021 #2" w:history="1">
        <w:r w:rsidR="00E941E0">
          <w:rPr>
            <w:noProof/>
          </w:rPr>
          <w:t>Michalchuk, Hemingway, et al. 2021</w:t>
        </w:r>
      </w:hyperlink>
      <w:r w:rsidR="004F441A">
        <w:rPr>
          <w:noProof/>
        </w:rPr>
        <w:t>)</w:t>
      </w:r>
      <w:r w:rsidR="00A15F64" w:rsidRPr="00923967">
        <w:fldChar w:fldCharType="end"/>
      </w:r>
      <w:r w:rsidR="00923967">
        <w:t xml:space="preserve">. </w:t>
      </w:r>
      <w:r w:rsidR="007D34B9">
        <w:t xml:space="preserve">To enhance </w:t>
      </w:r>
      <w:r>
        <w:t>the</w:t>
      </w:r>
      <w:r w:rsidR="007D34B9">
        <w:t xml:space="preserve"> performance</w:t>
      </w:r>
      <w:r>
        <w:t xml:space="preserve"> of </w:t>
      </w:r>
      <w:r w:rsidRPr="00E62FDC">
        <w:rPr>
          <w:lang w:val="en-GB"/>
        </w:rPr>
        <w:t>nitrocellulose</w:t>
      </w:r>
      <w:r>
        <w:rPr>
          <w:lang w:val="en-GB"/>
        </w:rPr>
        <w:t xml:space="preserve"> based </w:t>
      </w:r>
      <w:r w:rsidRPr="00E62FDC">
        <w:rPr>
          <w:lang w:val="en-GB"/>
        </w:rPr>
        <w:t>energetic materials</w:t>
      </w:r>
      <w:r w:rsidR="007D34B9">
        <w:t xml:space="preserve">, </w:t>
      </w:r>
      <w:r w:rsidR="00BF7A60" w:rsidRPr="00BF7A60">
        <w:rPr>
          <w:lang w:val="en-GB"/>
        </w:rPr>
        <w:t>various strategies have been explored, such as surface modification, incorporation of super-energetic molecules, and the addition of nanoscale catalysts. Among these, metal oxides like iron oxide (</w:t>
      </w:r>
      <w:proofErr w:type="spellStart"/>
      <w:r w:rsidR="00BF7A60" w:rsidRPr="00BF7A60">
        <w:rPr>
          <w:lang w:val="en-GB"/>
        </w:rPr>
        <w:t>Fe</w:t>
      </w:r>
      <w:r w:rsidR="00BF7A60" w:rsidRPr="00BF7A60">
        <w:rPr>
          <w:rFonts w:ascii="Cambria Math" w:hAnsi="Cambria Math" w:cs="Cambria Math"/>
          <w:lang w:val="en-GB"/>
        </w:rPr>
        <w:t>₂</w:t>
      </w:r>
      <w:r w:rsidR="00BF7A60" w:rsidRPr="00BF7A60">
        <w:rPr>
          <w:lang w:val="en-GB"/>
        </w:rPr>
        <w:t>O</w:t>
      </w:r>
      <w:proofErr w:type="spellEnd"/>
      <w:r w:rsidR="00BF7A60" w:rsidRPr="00BF7A60">
        <w:rPr>
          <w:rFonts w:ascii="Cambria Math" w:hAnsi="Cambria Math" w:cs="Cambria Math"/>
          <w:lang w:val="en-GB"/>
        </w:rPr>
        <w:t>₃</w:t>
      </w:r>
      <w:r w:rsidR="00BF7A60" w:rsidRPr="00BF7A60">
        <w:rPr>
          <w:lang w:val="en-GB"/>
        </w:rPr>
        <w:t>), zinc oxide (</w:t>
      </w:r>
      <w:proofErr w:type="spellStart"/>
      <w:r w:rsidR="00BF7A60" w:rsidRPr="00BF7A60">
        <w:rPr>
          <w:lang w:val="en-GB"/>
        </w:rPr>
        <w:t>ZnO</w:t>
      </w:r>
      <w:proofErr w:type="spellEnd"/>
      <w:r w:rsidR="00BF7A60" w:rsidRPr="00BF7A60">
        <w:rPr>
          <w:lang w:val="en-GB"/>
        </w:rPr>
        <w:t xml:space="preserve">), and copper oxide (CuO) have demonstrated significant catalytic potential due to their </w:t>
      </w:r>
      <w:proofErr w:type="spellStart"/>
      <w:r w:rsidR="00BF7A60" w:rsidRPr="00BF7A60">
        <w:rPr>
          <w:lang w:val="en-GB"/>
        </w:rPr>
        <w:t>favorable</w:t>
      </w:r>
      <w:proofErr w:type="spellEnd"/>
      <w:r w:rsidR="00BF7A60" w:rsidRPr="00BF7A60">
        <w:rPr>
          <w:lang w:val="en-GB"/>
        </w:rPr>
        <w:t xml:space="preserve"> physicochemical properties. However, their catalytic efficiency in NC-based systems can be affected by factors such as particle size, shape, and dispersion, with aggregation often limiting their overall effectiveness. </w:t>
      </w:r>
      <w:r w:rsidR="00923967" w:rsidRPr="00923967">
        <w:fldChar w:fldCharType="begin"/>
      </w:r>
      <w:r w:rsidR="00923967" w:rsidRPr="00923967">
        <w:instrText xml:space="preserve"> ADDIN EN.CITE &lt;EndNote&gt;&lt;Cite&gt;&lt;Author&gt;An&lt;/Author&gt;&lt;Year&gt;2012&lt;/Year&gt;&lt;RecNum&gt;22&lt;/RecNum&gt;&lt;DisplayText&gt;(An and Somorjai 2012, Cuenya 2010)&lt;/DisplayText&gt;&lt;record&gt;&lt;rec-number&gt;22&lt;/rec-number&gt;&lt;foreign-keys&gt;&lt;key app="EN" db-id="sdvpdv0smwr5wzetve1paxxrd52essr05fre"&gt;22&lt;/key&gt;&lt;/foreign-keys&gt;&lt;ref-type name="Journal Article"&gt;17&lt;/ref-type&gt;&lt;contributors&gt;&lt;authors&gt;&lt;author&gt;An, Kwangjin&lt;/author&gt;&lt;author&gt;Somorjai, Gabor A&lt;/author&gt;&lt;/authors&gt;&lt;/contributors&gt;&lt;titles&gt;&lt;title&gt;Size and shape control of metal nanoparticles for reaction selectivity in catalysis&lt;/title&gt;&lt;secondary-title&gt;ChemCatChem&lt;/secondary-title&gt;&lt;/titles&gt;&lt;pages&gt;1512-1524&lt;/pages&gt;&lt;volume&gt;4&lt;/volume&gt;&lt;number&gt;10&lt;/number&gt;&lt;dates&gt;&lt;year&gt;2012&lt;/year&gt;&lt;/dates&gt;&lt;isbn&gt;1867-3880&lt;/isbn&gt;&lt;urls&gt;&lt;/urls&gt;&lt;/record&gt;&lt;/Cite&gt;&lt;Cite&gt;&lt;Author&gt;Cuenya&lt;/Author&gt;&lt;Year&gt;2010&lt;/Year&gt;&lt;RecNum&gt;23&lt;/RecNum&gt;&lt;record&gt;&lt;rec-number&gt;23&lt;/rec-number&gt;&lt;foreign-keys&gt;&lt;key app="EN" db-id="sdvpdv0smwr5wzetve1paxxrd52essr05fre"&gt;23&lt;/key&gt;&lt;/foreign-keys&gt;&lt;ref-type name="Journal Article"&gt;17&lt;/ref-type&gt;&lt;contributors&gt;&lt;authors&gt;&lt;author&gt;Cuenya, Beatriz Roldan&lt;/author&gt;&lt;/authors&gt;&lt;/contributors&gt;&lt;titles&gt;&lt;title&gt;Synthesis and catalytic properties of metal nanoparticles: Size, shape, support, composition, and oxidation state effects&lt;/title&gt;&lt;secondary-title&gt;Thin Solid Films&lt;/secondary-title&gt;&lt;/titles&gt;&lt;pages&gt;3127-3150&lt;/pages&gt;&lt;volume&gt;518&lt;/volume&gt;&lt;number&gt;12&lt;/number&gt;&lt;dates&gt;&lt;year&gt;2010&lt;/year&gt;&lt;/dates&gt;&lt;isbn&gt;0040-6090&lt;/isbn&gt;&lt;urls&gt;&lt;/urls&gt;&lt;/record&gt;&lt;/Cite&gt;&lt;/EndNote&gt;</w:instrText>
      </w:r>
      <w:r w:rsidR="00923967" w:rsidRPr="00923967">
        <w:fldChar w:fldCharType="separate"/>
      </w:r>
      <w:r w:rsidR="00923967" w:rsidRPr="00923967">
        <w:t>(</w:t>
      </w:r>
      <w:hyperlink w:anchor="_ENREF_1" w:tooltip="An, 2012 #22" w:history="1">
        <w:r w:rsidR="00E941E0" w:rsidRPr="00923967">
          <w:t>An and Somorjai 2012</w:t>
        </w:r>
      </w:hyperlink>
      <w:r w:rsidR="00923967" w:rsidRPr="00923967">
        <w:t xml:space="preserve">, </w:t>
      </w:r>
      <w:hyperlink w:anchor="_ENREF_8" w:tooltip="Cuenya, 2010 #23" w:history="1">
        <w:r w:rsidR="00E941E0" w:rsidRPr="00923967">
          <w:t>Cuenya 2010</w:t>
        </w:r>
      </w:hyperlink>
      <w:r w:rsidR="00923967" w:rsidRPr="00923967">
        <w:t>)</w:t>
      </w:r>
      <w:r w:rsidR="00923967" w:rsidRPr="00923967">
        <w:fldChar w:fldCharType="end"/>
      </w:r>
      <w:r w:rsidR="00923967">
        <w:t>.</w:t>
      </w:r>
      <w:r w:rsidR="00916779">
        <w:t xml:space="preserve"> </w:t>
      </w:r>
      <w:r w:rsidR="00612D57" w:rsidRPr="00BE4F57">
        <w:rPr>
          <w:highlight w:val="yellow"/>
          <w:lang w:val="en-GB"/>
        </w:rPr>
        <w:t>Activated carbon plays a vital role in improving the thermal decomposition and combustion behavior of nitrocellulose-based energetic materials. Its high surface area facilitates adsorption and catalytic activity, while also preventing the agglomeration of catalytic species like metal oxides. Beyond acting as a burning rate modifier, activated carbon stabilizes catalysts and enhances their dispersion, ensuring better reactivity. Moreover, it serves as a reaction medium, promoting controlled decomposition of gaseous intermediates such as NO and NO</w:t>
      </w:r>
      <w:r w:rsidR="00612D57" w:rsidRPr="00BE4F57">
        <w:rPr>
          <w:rFonts w:ascii="Cambria Math" w:hAnsi="Cambria Math" w:cs="Cambria Math"/>
          <w:highlight w:val="yellow"/>
          <w:lang w:val="en-GB"/>
        </w:rPr>
        <w:t>₂</w:t>
      </w:r>
      <w:r w:rsidR="00612D57" w:rsidRPr="00BE4F57">
        <w:rPr>
          <w:highlight w:val="yellow"/>
          <w:lang w:val="en-GB"/>
        </w:rPr>
        <w:t>. These properties collectively contribute to lowering activation energy and accelerating NC decomposition kinetics.</w:t>
      </w:r>
      <w:r w:rsidR="00143DD8" w:rsidRPr="00BE4F57">
        <w:rPr>
          <w:highlight w:val="yellow"/>
        </w:rPr>
        <w:fldChar w:fldCharType="begin">
          <w:fldData xml:space="preserve">PEVuZE5vdGU+PENpdGU+PEF1dGhvcj5TaW5oYTwvQXV0aG9yPjxZZWFyPjIwMjA8L1llYXI+PFJl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</w:fldData>
        </w:fldChar>
      </w:r>
      <w:r w:rsidR="00C020FC" w:rsidRPr="00BE4F57">
        <w:rPr>
          <w:highlight w:val="yellow"/>
        </w:rPr>
        <w:instrText xml:space="preserve"> ADDIN EN.CITE </w:instrText>
      </w:r>
      <w:r w:rsidR="00C020FC" w:rsidRPr="00BE4F57">
        <w:rPr>
          <w:highlight w:val="yellow"/>
        </w:rPr>
        <w:fldChar w:fldCharType="begin">
          <w:fldData xml:space="preserve">PEVuZE5vdGU+PENpdGU+PEF1dGhvcj5TaW5oYTwvQXV0aG9yPjxZZWFyPjIwMjA8L1llYXI+PFJl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</w:fldData>
        </w:fldChar>
      </w:r>
      <w:r w:rsidR="00C020FC" w:rsidRPr="00BE4F57">
        <w:rPr>
          <w:highlight w:val="yellow"/>
        </w:rPr>
        <w:instrText xml:space="preserve"> ADDIN EN.CITE.DATA </w:instrText>
      </w:r>
      <w:r w:rsidR="00C020FC" w:rsidRPr="00BE4F57">
        <w:rPr>
          <w:highlight w:val="yellow"/>
        </w:rPr>
      </w:r>
      <w:r w:rsidR="00C020FC" w:rsidRPr="00BE4F57">
        <w:rPr>
          <w:highlight w:val="yellow"/>
        </w:rPr>
        <w:fldChar w:fldCharType="end"/>
      </w:r>
      <w:r w:rsidR="00143DD8" w:rsidRPr="00BE4F57">
        <w:rPr>
          <w:highlight w:val="yellow"/>
        </w:rPr>
      </w:r>
      <w:r w:rsidR="00143DD8" w:rsidRPr="00BE4F57">
        <w:rPr>
          <w:highlight w:val="yellow"/>
        </w:rPr>
        <w:fldChar w:fldCharType="separate"/>
      </w:r>
      <w:r w:rsidR="00C020FC" w:rsidRPr="00BE4F57">
        <w:rPr>
          <w:noProof/>
          <w:highlight w:val="yellow"/>
        </w:rPr>
        <w:t>(</w:t>
      </w:r>
      <w:hyperlink w:anchor="_ENREF_12" w:tooltip="Iwanow, 2020 #26" w:history="1">
        <w:r w:rsidR="00E941E0" w:rsidRPr="00BE4F57">
          <w:rPr>
            <w:noProof/>
            <w:highlight w:val="yellow"/>
          </w:rPr>
          <w:t>Iwanow, Gärtner, et al. 2020</w:t>
        </w:r>
      </w:hyperlink>
      <w:r w:rsidR="00C020FC" w:rsidRPr="00BE4F57">
        <w:rPr>
          <w:noProof/>
          <w:highlight w:val="yellow"/>
        </w:rPr>
        <w:t xml:space="preserve">, </w:t>
      </w:r>
      <w:hyperlink w:anchor="_ENREF_19" w:tooltip="Muller, 2022 #176" w:history="1">
        <w:r w:rsidR="00E941E0" w:rsidRPr="00BE4F57">
          <w:rPr>
            <w:noProof/>
            <w:highlight w:val="yellow"/>
          </w:rPr>
          <w:t>Muller and Gany 2022</w:t>
        </w:r>
      </w:hyperlink>
      <w:r w:rsidR="00C020FC" w:rsidRPr="00BE4F57">
        <w:rPr>
          <w:noProof/>
          <w:highlight w:val="yellow"/>
        </w:rPr>
        <w:t xml:space="preserve">, </w:t>
      </w:r>
      <w:hyperlink w:anchor="_ENREF_26" w:tooltip="Sinha, 2020 #25" w:history="1">
        <w:r w:rsidR="00E941E0" w:rsidRPr="00BE4F57">
          <w:rPr>
            <w:noProof/>
            <w:highlight w:val="yellow"/>
          </w:rPr>
          <w:t>Sinha, Banerjee, et al. 2020</w:t>
        </w:r>
      </w:hyperlink>
      <w:r w:rsidR="00C020FC" w:rsidRPr="00BE4F57">
        <w:rPr>
          <w:noProof/>
          <w:highlight w:val="yellow"/>
        </w:rPr>
        <w:t>)</w:t>
      </w:r>
      <w:r w:rsidR="00143DD8" w:rsidRPr="00BE4F57">
        <w:rPr>
          <w:highlight w:val="yellow"/>
        </w:rPr>
        <w:fldChar w:fldCharType="end"/>
      </w:r>
      <w:r w:rsidR="00143DD8" w:rsidRPr="00BE4F57">
        <w:rPr>
          <w:highlight w:val="yellow"/>
        </w:rPr>
        <w:t>.</w:t>
      </w:r>
    </w:p>
    <w:p w14:paraId="2605C05C" w14:textId="0C6237F2" w:rsidR="007D34B9" w:rsidRPr="00D406B6" w:rsidRDefault="007D34B9" w:rsidP="00D406B6">
      <w:pPr>
        <w:pStyle w:val="CETBodytext"/>
        <w:rPr>
          <w:color w:val="000000" w:themeColor="text1"/>
        </w:rPr>
      </w:pPr>
      <w:r w:rsidRPr="00D406B6">
        <w:rPr>
          <w:color w:val="000000" w:themeColor="text1"/>
        </w:rPr>
        <w:t xml:space="preserve">This study focuses on preparing </w:t>
      </w:r>
      <w:r w:rsidR="00D406B6" w:rsidRPr="00D406B6">
        <w:rPr>
          <w:color w:val="000000" w:themeColor="text1"/>
          <w:lang w:val="en-GB"/>
        </w:rPr>
        <w:t xml:space="preserve">Cobalt (II) oxide (CoO) </w:t>
      </w:r>
      <w:r w:rsidRPr="00D406B6">
        <w:rPr>
          <w:color w:val="000000" w:themeColor="text1"/>
        </w:rPr>
        <w:t>supported</w:t>
      </w:r>
      <w:r w:rsidR="00D406B6" w:rsidRPr="00D406B6">
        <w:rPr>
          <w:color w:val="000000" w:themeColor="text1"/>
        </w:rPr>
        <w:t xml:space="preserve"> on activated carbon (AC-CoO</w:t>
      </w:r>
      <w:r w:rsidRPr="00D406B6">
        <w:rPr>
          <w:color w:val="000000" w:themeColor="text1"/>
        </w:rPr>
        <w:t xml:space="preserve">) and investigating its catalytic efficiency on the thermolysis of </w:t>
      </w:r>
      <w:r w:rsidR="00D406B6" w:rsidRPr="00D406B6">
        <w:rPr>
          <w:color w:val="000000" w:themeColor="text1"/>
        </w:rPr>
        <w:t xml:space="preserve">nitrocellulose (NC) </w:t>
      </w:r>
      <w:r w:rsidRPr="00D406B6">
        <w:rPr>
          <w:color w:val="000000" w:themeColor="text1"/>
        </w:rPr>
        <w:t xml:space="preserve">using differential scanning calorimetry analysis at various heating rates. The research aims to uncover the synergistic interactions between </w:t>
      </w:r>
      <w:r w:rsidR="00D406B6" w:rsidRPr="00D406B6">
        <w:rPr>
          <w:color w:val="000000" w:themeColor="text1"/>
        </w:rPr>
        <w:t>CoO</w:t>
      </w:r>
      <w:r w:rsidRPr="00D406B6">
        <w:rPr>
          <w:color w:val="000000" w:themeColor="text1"/>
        </w:rPr>
        <w:t xml:space="preserve"> and activated carbon, advancing our understanding of catalytic strategies to enhance the performance of energetic materials (EMs).</w:t>
      </w:r>
    </w:p>
    <w:p w14:paraId="16D5DD99" w14:textId="0AD77A2A" w:rsidR="00ED73DB" w:rsidRPr="00ED73DB" w:rsidRDefault="00ED73DB" w:rsidP="00F05A03">
      <w:pPr>
        <w:pStyle w:val="CETHeading1"/>
        <w:spacing w:before="0" w:after="0"/>
        <w:rPr>
          <w:lang w:val="en-GB"/>
        </w:rPr>
      </w:pPr>
      <w:r w:rsidRPr="00ED73DB">
        <w:rPr>
          <w:lang w:val="en-GB"/>
        </w:rPr>
        <w:lastRenderedPageBreak/>
        <w:t>Experimental section</w:t>
      </w:r>
    </w:p>
    <w:p w14:paraId="25A2FB85" w14:textId="2CD7470E" w:rsidR="00ED73DB" w:rsidRDefault="00ED73DB" w:rsidP="00443A16">
      <w:pPr>
        <w:pStyle w:val="CETheadingx"/>
      </w:pPr>
      <w:r>
        <w:t>Materials</w:t>
      </w:r>
    </w:p>
    <w:p w14:paraId="0D1A23D9" w14:textId="11041AAF" w:rsidR="00ED73DB" w:rsidRDefault="00ED73DB" w:rsidP="00E941E0">
      <w:pPr>
        <w:pStyle w:val="CETBodytext"/>
      </w:pPr>
      <w:r>
        <w:t>Cobalt (II) oxide (CoO)</w:t>
      </w:r>
      <w:r w:rsidR="00E96BD2">
        <w:t xml:space="preserve"> was</w:t>
      </w:r>
      <w:r>
        <w:t xml:space="preserve"> provided by Sigma Aldrich. Activated carbon was synthesized by chemical activation from olive waste provided by local oil mills and chemically activated with phosphoric acid (H3PO4) following the procedure detailed elsewhere </w:t>
      </w:r>
      <w:r w:rsidR="00143DD8" w:rsidRPr="00202898">
        <w:rPr>
          <w:rFonts w:asciiTheme="majorBidi" w:hAnsiTheme="majorBidi" w:cstheme="majorBidi"/>
          <w:sz w:val="24"/>
          <w:szCs w:val="24"/>
        </w:rPr>
        <w:t xml:space="preserve"> </w:t>
      </w:r>
      <w:r w:rsidR="00143DD8" w:rsidRPr="00143DD8">
        <w:fldChar w:fldCharType="begin"/>
      </w:r>
      <w:r w:rsidR="00143DD8">
        <w:instrText xml:space="preserve"> ADDIN EN.CITE &lt;EndNote&gt;&lt;Cite&gt;&lt;Author&gt;Bouriche&lt;/Author&gt;&lt;Year&gt;2021&lt;/Year&gt;&lt;RecNum&gt;30&lt;/RecNum&gt;&lt;DisplayText&gt;(Bouriche, Tazibet, et al. 2021)&lt;/DisplayText&gt;&lt;record&gt;&lt;rec-number&gt;30&lt;/rec-number&gt;&lt;foreign-keys&gt;&lt;key app="EN" db-id="sdvpdv0smwr5wzetve1paxxrd52essr05fre"&gt;30&lt;/key&gt;&lt;/foreign-keys&gt;&lt;ref-type name="Journal Article"&gt;17&lt;/ref-type&gt;&lt;contributors&gt;&lt;authors&gt;&lt;author&gt;Bouriche, Rachid&lt;/author&gt;&lt;author&gt;Tazibet, Sana&lt;/author&gt;&lt;author&gt;Boutillara, Yasmine&lt;/author&gt;&lt;author&gt;Melouki, Redouane&lt;/author&gt;&lt;author&gt;Benaliouche, Fouad&lt;/author&gt;&lt;author&gt;Boucheffa, Youcef&lt;/author&gt;&lt;/authors&gt;&lt;/contributors&gt;&lt;titles&gt;&lt;title&gt;Characterization of titanium (IV) oxide nanoparticles loaded onto activated carbon for the adsorption of nitrogen oxides produced from the degradation of nitrocellulose&lt;/title&gt;&lt;secondary-title&gt;Analytical Letters&lt;/secondary-title&gt;&lt;/titles&gt;&lt;pages&gt;1929-1942&lt;/pages&gt;&lt;volume&gt;54&lt;/volume&gt;&lt;number&gt;12&lt;/number&gt;&lt;dates&gt;&lt;year&gt;2021&lt;/year&gt;&lt;/dates&gt;&lt;isbn&gt;0003-2719&lt;/isbn&gt;&lt;urls&gt;&lt;/urls&gt;&lt;/record&gt;&lt;/Cite&gt;&lt;/EndNote&gt;</w:instrText>
      </w:r>
      <w:r w:rsidR="00143DD8" w:rsidRPr="00143DD8">
        <w:fldChar w:fldCharType="separate"/>
      </w:r>
      <w:r w:rsidR="00143DD8">
        <w:rPr>
          <w:noProof/>
        </w:rPr>
        <w:t>(</w:t>
      </w:r>
      <w:hyperlink w:anchor="_ENREF_7" w:tooltip="Bouriche, 2021 #30" w:history="1">
        <w:r w:rsidR="00E941E0">
          <w:rPr>
            <w:noProof/>
          </w:rPr>
          <w:t>Bouriche, Tazibet, et al. 2021</w:t>
        </w:r>
      </w:hyperlink>
      <w:r w:rsidR="00143DD8">
        <w:rPr>
          <w:noProof/>
        </w:rPr>
        <w:t>)</w:t>
      </w:r>
      <w:r w:rsidR="00143DD8" w:rsidRPr="00143DD8">
        <w:fldChar w:fldCharType="end"/>
      </w:r>
      <w:r w:rsidR="00143DD8">
        <w:t>.</w:t>
      </w:r>
      <w:r>
        <w:t xml:space="preserve"> Nitrocellulose, with a nitration content of 12.61%, </w:t>
      </w:r>
      <w:r w:rsidR="00E96BD2">
        <w:t>was</w:t>
      </w:r>
      <w:r>
        <w:t xml:space="preserve"> synthesized and fully characterized in our laboratory following the procedure</w:t>
      </w:r>
      <w:r w:rsidR="00D57126">
        <w:t xml:space="preserve">s indicated in our recent works </w:t>
      </w:r>
      <w:r w:rsidR="00143DD8" w:rsidRPr="00102837">
        <w:fldChar w:fldCharType="begin"/>
      </w:r>
      <w:r w:rsidR="00F2643E" w:rsidRPr="00102837">
        <w:instrText xml:space="preserve"> ADDIN EN.CITE &lt;EndNote&gt;&lt;Cite&gt;&lt;Author&gt;Benhammada&lt;/Author&gt;&lt;Year&gt;2023&lt;/Year&gt;&lt;RecNum&gt;32&lt;/RecNum&gt;&lt;DisplayText&gt;(Benhammada, Trache, et al. 2023)&lt;/DisplayText&gt;&lt;record&gt;&lt;rec-number&gt;32&lt;/rec-number&gt;&lt;foreign-keys&gt;&lt;key app="EN" db-id="sdvpdv0smwr5wzetve1paxxrd52essr05fre"&gt;32&lt;/key&gt;&lt;/foreign-keys&gt;&lt;ref-type name="Journal Article"&gt;17&lt;/ref-type&gt;&lt;contributors&gt;&lt;authors&gt;&lt;author&gt;Benhammada, Abdenacer&lt;/author&gt;&lt;author&gt;Trache, Djalal&lt;/author&gt;&lt;author&gt;Chelouche, Salim&lt;/author&gt;&lt;/authors&gt;&lt;/contributors&gt;&lt;titles&gt;&lt;title&gt;Catalytic effect investigation of α-Fe2O3 and α-Fe2O3-CMS nanocomposites on the thermal behavior of NC/DEGDN mixture: DSC measurements and kinetic modeling&lt;/title&gt;&lt;secondary-title&gt;Journal of the Indian Chemical Society&lt;/secondary-title&gt;&lt;/titles&gt;&lt;pages&gt;100838&lt;/pages&gt;&lt;volume&gt;100&lt;/volume&gt;&lt;number&gt;1&lt;/number&gt;&lt;dates&gt;&lt;year&gt;2023&lt;/year&gt;&lt;/dates&gt;&lt;isbn&gt;0019-4522&lt;/isbn&gt;&lt;urls&gt;&lt;/urls&gt;&lt;electronic-resource-num&gt;https://doi.org/10.1016/j.jics.2022.100838&lt;/electronic-resource-num&gt;&lt;/record&gt;&lt;/Cite&gt;&lt;/EndNote&gt;</w:instrText>
      </w:r>
      <w:r w:rsidR="00143DD8" w:rsidRPr="00102837">
        <w:fldChar w:fldCharType="separate"/>
      </w:r>
      <w:r w:rsidR="00F2643E" w:rsidRPr="00102837">
        <w:rPr>
          <w:noProof/>
        </w:rPr>
        <w:t>(</w:t>
      </w:r>
      <w:hyperlink w:anchor="_ENREF_5" w:tooltip="Benhammada, 2023 #32" w:history="1">
        <w:r w:rsidR="00E941E0" w:rsidRPr="00102837">
          <w:rPr>
            <w:noProof/>
          </w:rPr>
          <w:t>Benhammada, Trache, et al. 2023</w:t>
        </w:r>
      </w:hyperlink>
      <w:r w:rsidR="00F2643E" w:rsidRPr="00102837">
        <w:rPr>
          <w:noProof/>
        </w:rPr>
        <w:t>)</w:t>
      </w:r>
      <w:r w:rsidR="00143DD8" w:rsidRPr="00102837">
        <w:fldChar w:fldCharType="end"/>
      </w:r>
      <w:r w:rsidR="00143DD8" w:rsidRPr="00102837">
        <w:t>.</w:t>
      </w:r>
    </w:p>
    <w:p w14:paraId="630E2EEB" w14:textId="23BA8AD4" w:rsidR="00B468BB" w:rsidRPr="00B468BB" w:rsidRDefault="00B468BB" w:rsidP="00443A16">
      <w:pPr>
        <w:pStyle w:val="CETheadingx"/>
      </w:pPr>
      <w:r w:rsidRPr="00B468BB">
        <w:t>Preparation of the energetic composite</w:t>
      </w:r>
    </w:p>
    <w:p w14:paraId="3DB9C6CE" w14:textId="24C40C4B" w:rsidR="00B468BB" w:rsidRDefault="00210316" w:rsidP="00E941E0">
      <w:pPr>
        <w:pStyle w:val="CETBodytext"/>
        <w:rPr>
          <w:rFonts w:ascii="Times New Roman" w:hAnsi="Times New Roman"/>
          <w:sz w:val="20"/>
          <w:lang w:val="pl-PL"/>
        </w:rPr>
      </w:pPr>
      <w:r w:rsidRPr="00210316">
        <w:rPr>
          <w:highlight w:val="yellow"/>
          <w:lang w:val="en-GB"/>
        </w:rPr>
        <w:t>The sample preparation involved a two-step process. First, cobalt oxide (CoO) was supported on activated carbon (AC)</w:t>
      </w:r>
      <w:r w:rsidR="00B468BB" w:rsidRPr="00210316">
        <w:rPr>
          <w:highlight w:val="yellow"/>
          <w:lang w:val="en-GB"/>
        </w:rPr>
        <w:t>,</w:t>
      </w:r>
      <w:r w:rsidR="00B468BB" w:rsidRPr="00210316">
        <w:rPr>
          <w:highlight w:val="yellow"/>
        </w:rPr>
        <w:t xml:space="preserve"> to create AC-</w:t>
      </w:r>
      <w:r w:rsidR="00244785" w:rsidRPr="00210316">
        <w:rPr>
          <w:highlight w:val="yellow"/>
        </w:rPr>
        <w:t>CoO</w:t>
      </w:r>
      <w:r w:rsidRPr="00210316">
        <w:rPr>
          <w:highlight w:val="yellow"/>
        </w:rPr>
        <w:t>,</w:t>
      </w:r>
      <w:r w:rsidR="00B468BB" w:rsidRPr="00210316">
        <w:rPr>
          <w:highlight w:val="yellow"/>
        </w:rPr>
        <w:t xml:space="preserve"> </w:t>
      </w:r>
      <w:r w:rsidRPr="00210316">
        <w:rPr>
          <w:highlight w:val="yellow"/>
          <w:lang w:val="en-GB"/>
        </w:rPr>
        <w:t xml:space="preserve">following the methodology of </w:t>
      </w:r>
      <w:proofErr w:type="spellStart"/>
      <w:r w:rsidR="00B468BB" w:rsidRPr="00210316">
        <w:rPr>
          <w:highlight w:val="yellow"/>
        </w:rPr>
        <w:t>Atamanov</w:t>
      </w:r>
      <w:proofErr w:type="spellEnd"/>
      <w:r w:rsidR="00B468BB" w:rsidRPr="00210316">
        <w:rPr>
          <w:highlight w:val="yellow"/>
        </w:rPr>
        <w:t xml:space="preserve"> et al.</w:t>
      </w:r>
      <w:r w:rsidR="005C68BF" w:rsidRPr="00210316">
        <w:rPr>
          <w:highlight w:val="yellow"/>
        </w:rPr>
        <w:t xml:space="preserve"> </w:t>
      </w:r>
      <w:r w:rsidR="005C68BF" w:rsidRPr="00210316">
        <w:rPr>
          <w:highlight w:val="yellow"/>
        </w:rPr>
        <w:fldChar w:fldCharType="begin"/>
      </w:r>
      <w:r w:rsidR="003633A7" w:rsidRPr="00210316">
        <w:rPr>
          <w:highlight w:val="yellow"/>
        </w:rPr>
        <w:instrText xml:space="preserve"> ADDIN EN.CITE &lt;EndNote&gt;&lt;Cite&gt;&lt;Author&gt;Atamanov&lt;/Author&gt;&lt;Year&gt;2019&lt;/Year&gt;&lt;RecNum&gt;90&lt;/RecNum&gt;&lt;DisplayText&gt;(Atamanov, Yelemessova, et al. 2019)&lt;/DisplayText&gt;&lt;record&gt;&lt;rec-number&gt;90&lt;/rec-number&gt;&lt;foreign-keys&gt;&lt;key app="EN" db-id="sdvpdv0smwr5wzetve1paxxrd52essr05fre"&gt;90&lt;/key&gt;&lt;/foreign-keys&gt;&lt;ref-type name="Journal Article"&gt;17&lt;/ref-type&gt;&lt;contributors&gt;&lt;authors&gt;&lt;author&gt;Atamanov, Meiram&lt;/author&gt;&lt;author&gt;Yelemessova, Zhanerke&lt;/author&gt;&lt;author&gt;Imangazy, Aldan&lt;/author&gt;&lt;author&gt;Kamunur, Kaster&lt;/author&gt;&lt;author&gt;Lesbayev, Bakhytzhan&lt;/author&gt;&lt;author&gt;Mansurov, Zulkhair&lt;/author&gt;&lt;author&gt;Yue, Tang&lt;/author&gt;&lt;author&gt;Shen, Ruiqi&lt;/author&gt;&lt;author&gt;Yan, Qi-Long&lt;/author&gt;&lt;/authors&gt;&lt;/contributors&gt;&lt;titles&gt;&lt;title&gt;The catalytic effect of CuO-doped activated carbon on thermal decomposition and combustion of AN/Mg/NC composite&lt;/title&gt;&lt;secondary-title&gt;The Journal of Physical Chemistry C&lt;/secondary-title&gt;&lt;/titles&gt;&lt;pages&gt;22941-22948&lt;/pages&gt;&lt;volume&gt;123&lt;/volume&gt;&lt;number&gt;37&lt;/number&gt;&lt;dates&gt;&lt;year&gt;2019&lt;/year&gt;&lt;/dates&gt;&lt;isbn&gt;1932-7447&lt;/isbn&gt;&lt;urls&gt;&lt;/urls&gt;&lt;/record&gt;&lt;/Cite&gt;&lt;/EndNote&gt;</w:instrText>
      </w:r>
      <w:r w:rsidR="005C68BF" w:rsidRPr="00210316">
        <w:rPr>
          <w:highlight w:val="yellow"/>
        </w:rPr>
        <w:fldChar w:fldCharType="separate"/>
      </w:r>
      <w:r w:rsidR="003633A7" w:rsidRPr="00210316">
        <w:rPr>
          <w:noProof/>
          <w:highlight w:val="yellow"/>
        </w:rPr>
        <w:t>(</w:t>
      </w:r>
      <w:hyperlink w:anchor="_ENREF_3" w:tooltip="Atamanov, 2019 #90" w:history="1">
        <w:r w:rsidR="00E941E0" w:rsidRPr="00210316">
          <w:rPr>
            <w:noProof/>
            <w:highlight w:val="yellow"/>
          </w:rPr>
          <w:t>Atamanov, Yelemessova, et al. 2019</w:t>
        </w:r>
      </w:hyperlink>
      <w:r w:rsidR="003633A7" w:rsidRPr="00210316">
        <w:rPr>
          <w:noProof/>
          <w:highlight w:val="yellow"/>
        </w:rPr>
        <w:t>)</w:t>
      </w:r>
      <w:r w:rsidR="005C68BF" w:rsidRPr="00210316">
        <w:rPr>
          <w:highlight w:val="yellow"/>
        </w:rPr>
        <w:fldChar w:fldCharType="end"/>
      </w:r>
      <w:r w:rsidR="005C68BF" w:rsidRPr="00210316">
        <w:rPr>
          <w:highlight w:val="yellow"/>
        </w:rPr>
        <w:t>.</w:t>
      </w:r>
      <w:r w:rsidR="005C68BF" w:rsidRPr="00210316">
        <w:rPr>
          <w:rFonts w:asciiTheme="majorBidi" w:hAnsiTheme="majorBidi" w:cstheme="majorBidi"/>
          <w:color w:val="000000" w:themeColor="text1"/>
          <w:sz w:val="24"/>
          <w:szCs w:val="24"/>
          <w:highlight w:val="yellow"/>
        </w:rPr>
        <w:t xml:space="preserve"> </w:t>
      </w:r>
      <w:r w:rsidRPr="00210316">
        <w:rPr>
          <w:highlight w:val="yellow"/>
          <w:lang w:val="en-GB"/>
        </w:rPr>
        <w:t xml:space="preserve">This was achieved through a solvent-free milling approach, where thoroughly dried AC and CoO were mixed at a 90:10 </w:t>
      </w:r>
      <w:proofErr w:type="spellStart"/>
      <w:r w:rsidRPr="00210316">
        <w:rPr>
          <w:highlight w:val="yellow"/>
          <w:lang w:val="en-GB"/>
        </w:rPr>
        <w:t>wt</w:t>
      </w:r>
      <w:proofErr w:type="spellEnd"/>
      <w:r w:rsidRPr="00210316">
        <w:rPr>
          <w:highlight w:val="yellow"/>
          <w:lang w:val="en-GB"/>
        </w:rPr>
        <w:t xml:space="preserve">% ratio and processed in a planetary mill at 500 rpm for 15 minutes. In the second step, the synthesized AC-CoO was incorporated into nitrocellulose (NC). Specifically, 1 g of NC was dissolved in 60 mL of acetone and stirred at 20 °C for one hour, while 5 </w:t>
      </w:r>
      <w:proofErr w:type="spellStart"/>
      <w:r w:rsidRPr="00210316">
        <w:rPr>
          <w:highlight w:val="yellow"/>
          <w:lang w:val="en-GB"/>
        </w:rPr>
        <w:t>wt</w:t>
      </w:r>
      <w:proofErr w:type="spellEnd"/>
      <w:r w:rsidRPr="00210316">
        <w:rPr>
          <w:highlight w:val="yellow"/>
          <w:lang w:val="en-GB"/>
        </w:rPr>
        <w:t xml:space="preserve">% of AC-CoO </w:t>
      </w:r>
      <w:r w:rsidR="00FB1C7A">
        <w:rPr>
          <w:highlight w:val="yellow"/>
          <w:lang w:val="en-GB"/>
        </w:rPr>
        <w:t xml:space="preserve">or (CoO) </w:t>
      </w:r>
      <w:r w:rsidRPr="00210316">
        <w:rPr>
          <w:highlight w:val="yellow"/>
          <w:lang w:val="en-GB"/>
        </w:rPr>
        <w:t>was dispersed in 40 mL of acetone. Both solutions were then combined, stirred for an additional hour, and air-dried to obtain the final energetic composite</w:t>
      </w:r>
      <w:r w:rsidR="00B468BB" w:rsidRPr="00210316">
        <w:rPr>
          <w:highlight w:val="yellow"/>
        </w:rPr>
        <w:t>.</w:t>
      </w:r>
    </w:p>
    <w:p w14:paraId="337E96DC" w14:textId="48EF80E0" w:rsidR="00B468BB" w:rsidRPr="00810298" w:rsidRDefault="00810298" w:rsidP="00E12719">
      <w:pPr>
        <w:pStyle w:val="CETBodytext"/>
        <w:spacing w:before="240"/>
        <w:jc w:val="center"/>
        <w:rPr>
          <w:lang w:val="pl-PL"/>
        </w:rPr>
      </w:pPr>
      <w:r w:rsidRPr="00810298">
        <w:rPr>
          <w:noProof/>
        </w:rPr>
        <w:drawing>
          <wp:inline distT="0" distB="0" distL="0" distR="0" wp14:anchorId="6ED00381" wp14:editId="59712DCA">
            <wp:extent cx="4601260" cy="2158521"/>
            <wp:effectExtent l="0" t="0" r="8890" b="0"/>
            <wp:docPr id="1" name="Image 1" descr="F:\doctorat\CONFERENCE\conference ICHEAP Italy\Ca-CoO  - Cop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torat\CONFERENCE\conference ICHEAP Italy\Ca-CoO  - Copie.tif"/>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35305" cy="2174492"/>
                    </a:xfrm>
                    <a:prstGeom prst="rect">
                      <a:avLst/>
                    </a:prstGeom>
                    <a:noFill/>
                    <a:ln>
                      <a:noFill/>
                    </a:ln>
                  </pic:spPr>
                </pic:pic>
              </a:graphicData>
            </a:graphic>
          </wp:inline>
        </w:drawing>
      </w:r>
    </w:p>
    <w:p w14:paraId="0BD7C76B" w14:textId="54BD9C9E" w:rsidR="00267221" w:rsidRDefault="00267221" w:rsidP="006265A5">
      <w:pPr>
        <w:pStyle w:val="CETCaption"/>
        <w:spacing w:before="0" w:after="0"/>
      </w:pPr>
      <w:r w:rsidRPr="0065396B">
        <w:rPr>
          <w:b/>
          <w:bCs/>
        </w:rPr>
        <w:t xml:space="preserve">Figure </w:t>
      </w:r>
      <w:r w:rsidRPr="0065396B">
        <w:rPr>
          <w:b/>
          <w:bCs/>
        </w:rPr>
        <w:fldChar w:fldCharType="begin"/>
      </w:r>
      <w:r w:rsidRPr="0065396B">
        <w:rPr>
          <w:b/>
          <w:bCs/>
        </w:rPr>
        <w:instrText xml:space="preserve"> SEQ Figure \* ARABIC </w:instrText>
      </w:r>
      <w:r w:rsidRPr="0065396B">
        <w:rPr>
          <w:b/>
          <w:bCs/>
        </w:rPr>
        <w:fldChar w:fldCharType="separate"/>
      </w:r>
      <w:r>
        <w:rPr>
          <w:b/>
          <w:bCs/>
          <w:noProof/>
        </w:rPr>
        <w:t>1</w:t>
      </w:r>
      <w:r w:rsidRPr="0065396B">
        <w:rPr>
          <w:b/>
          <w:bCs/>
        </w:rPr>
        <w:fldChar w:fldCharType="end"/>
      </w:r>
      <w:r w:rsidRPr="0065396B">
        <w:rPr>
          <w:b/>
          <w:bCs/>
        </w:rPr>
        <w:t>.</w:t>
      </w:r>
      <w:r w:rsidRPr="000D3224">
        <w:t xml:space="preserve"> Preparation process of the composites.</w:t>
      </w:r>
    </w:p>
    <w:p w14:paraId="537F44C2" w14:textId="0171D6AF" w:rsidR="009238F2" w:rsidRPr="009238F2" w:rsidRDefault="009238F2" w:rsidP="00443A16">
      <w:pPr>
        <w:pStyle w:val="CETheadingx"/>
      </w:pPr>
      <w:r w:rsidRPr="009238F2">
        <w:t>Experimental techniques</w:t>
      </w:r>
    </w:p>
    <w:p w14:paraId="05516675" w14:textId="51FA0EFA" w:rsidR="00683326" w:rsidRPr="004E0BC5" w:rsidRDefault="009238F2" w:rsidP="00103131">
      <w:pPr>
        <w:pStyle w:val="CETBodytext"/>
        <w:rPr>
          <w:b/>
        </w:rPr>
      </w:pPr>
      <w:r w:rsidRPr="009238F2">
        <w:rPr>
          <w:b/>
        </w:rPr>
        <w:t>Structural, textural characterization</w:t>
      </w:r>
      <w:r w:rsidR="00683326" w:rsidRPr="004E0BC5">
        <w:rPr>
          <w:b/>
        </w:rPr>
        <w:t xml:space="preserve">s, and thermal measurements  </w:t>
      </w:r>
    </w:p>
    <w:p w14:paraId="3C30DD7C" w14:textId="2B576DE7" w:rsidR="009238F2" w:rsidRPr="009238F2" w:rsidRDefault="009238F2" w:rsidP="008D2BBD">
      <w:pPr>
        <w:pStyle w:val="CETBodytext"/>
      </w:pPr>
      <w:r w:rsidRPr="009238F2">
        <w:t>The studied compounds were analyzed using a Perkin–Elmer 1600 Fourier-transform infrared spectrometer in transmission mode. Samples were dried to remove moisture before analysis. Measurements were conducted at room temperature, covering frequencies from 4000 to 400 cm</w:t>
      </w:r>
      <w:r w:rsidRPr="009238F2">
        <w:rPr>
          <w:vertAlign w:val="superscript"/>
        </w:rPr>
        <w:t xml:space="preserve">-1 </w:t>
      </w:r>
      <w:r w:rsidRPr="009238F2">
        <w:t>with a resolution of 4 cm</w:t>
      </w:r>
      <w:r w:rsidRPr="009238F2">
        <w:rPr>
          <w:vertAlign w:val="superscript"/>
        </w:rPr>
        <w:t>-1</w:t>
      </w:r>
      <w:r w:rsidRPr="009238F2">
        <w:t xml:space="preserve">. The crystalline structures were analyzed using a </w:t>
      </w:r>
      <w:proofErr w:type="spellStart"/>
      <w:r w:rsidRPr="009238F2">
        <w:t>PANalytical</w:t>
      </w:r>
      <w:proofErr w:type="spellEnd"/>
      <w:r w:rsidRPr="009238F2">
        <w:t xml:space="preserve"> </w:t>
      </w:r>
      <w:proofErr w:type="spellStart"/>
      <w:r w:rsidRPr="009238F2">
        <w:t>X’pert</w:t>
      </w:r>
      <w:proofErr w:type="spellEnd"/>
      <w:r w:rsidRPr="009238F2">
        <w:t xml:space="preserve"> PRO X-ray diffractometer equipped with Cu Kα radiation operating at 45 kV and 40 mA. Data were collected over an angular range of 2θ = 5° to 80°, with a step size of 0.02°. Adsorption</w:t>
      </w:r>
      <w:r w:rsidR="008D2BBD" w:rsidRPr="008D2BBD">
        <w:rPr>
          <w:highlight w:val="yellow"/>
        </w:rPr>
        <w:t>-</w:t>
      </w:r>
      <w:r w:rsidRPr="009238F2">
        <w:t>desorption isotherms of N</w:t>
      </w:r>
      <w:r w:rsidRPr="009238F2">
        <w:rPr>
          <w:vertAlign w:val="subscript"/>
        </w:rPr>
        <w:t>2</w:t>
      </w:r>
      <w:r w:rsidRPr="009238F2">
        <w:t xml:space="preserve"> at -196 °C were determined using an </w:t>
      </w:r>
      <w:proofErr w:type="spellStart"/>
      <w:r w:rsidRPr="009238F2">
        <w:t>Autosorb</w:t>
      </w:r>
      <w:proofErr w:type="spellEnd"/>
      <w:r w:rsidRPr="009238F2">
        <w:t xml:space="preserve"> Nova surface analyzer. Before each adsorption experiment, the samples are outgassed at 120 °C under vacuum for 24 h. The surface area is determined using the BET equation, and the total volume of pores (</w:t>
      </w:r>
      <w:proofErr w:type="spellStart"/>
      <w:r w:rsidRPr="009238F2">
        <w:t>V</w:t>
      </w:r>
      <w:r w:rsidRPr="009238F2">
        <w:rPr>
          <w:vertAlign w:val="subscript"/>
        </w:rPr>
        <w:t>t</w:t>
      </w:r>
      <w:proofErr w:type="spellEnd"/>
      <w:r w:rsidRPr="009238F2">
        <w:t>) is calculated at a relative pressure (P/P</w:t>
      </w:r>
      <w:r w:rsidRPr="009238F2">
        <w:rPr>
          <w:vertAlign w:val="subscript"/>
        </w:rPr>
        <w:t>0</w:t>
      </w:r>
      <w:r w:rsidR="00783CE2">
        <w:t xml:space="preserve">) of 0.975. </w:t>
      </w:r>
      <w:r w:rsidRPr="009238F2">
        <w:t>The thermal behavior of the samples was further assessed using a PerkinElmer 4000 differential scanning calorimeter. Sample masses of 1–2 mg were sealed in aluminum crucibles, placed under a nitrogen atmosphere, and heated from 50°C to 350°C at various rates (10, 15, 20, and 25 °C/min).</w:t>
      </w:r>
    </w:p>
    <w:p w14:paraId="39ADBD35" w14:textId="2F11FCED" w:rsidR="009238F2" w:rsidRPr="009238F2" w:rsidRDefault="009238F2" w:rsidP="00825347">
      <w:pPr>
        <w:pStyle w:val="CETHeading1"/>
      </w:pPr>
      <w:r w:rsidRPr="009238F2">
        <w:t>Theoretical background of kinetic analysis</w:t>
      </w:r>
    </w:p>
    <w:p w14:paraId="594067F4" w14:textId="77BDE409" w:rsidR="009238F2" w:rsidRPr="009238F2" w:rsidRDefault="009238F2" w:rsidP="00E941E0">
      <w:pPr>
        <w:pStyle w:val="CETBodytext"/>
      </w:pPr>
      <w:r w:rsidRPr="009238F2">
        <w:t>Kinetic analysis plays a crucial role in evaluating key decomposition parameters such as the activation energy (</w:t>
      </w:r>
      <w:proofErr w:type="spellStart"/>
      <w:r w:rsidRPr="009238F2">
        <w:rPr>
          <w:i/>
          <w:iCs/>
        </w:rPr>
        <w:t>E</w:t>
      </w:r>
      <w:r w:rsidRPr="009238F2">
        <w:t>a</w:t>
      </w:r>
      <w:proofErr w:type="spellEnd"/>
      <w:r w:rsidRPr="009238F2">
        <w:t>), the pre-exponential coefficient (</w:t>
      </w:r>
      <m:oMath>
        <m:sSub>
          <m:sSubPr>
            <m:ctrlPr>
              <w:rPr>
                <w:rFonts w:ascii="Cambria Math" w:hAnsi="Cambria Math"/>
              </w:rPr>
            </m:ctrlPr>
          </m:sSubPr>
          <m:e>
            <m:r>
              <w:rPr>
                <w:rFonts w:ascii="Cambria Math" w:hAnsi="Cambria Math"/>
              </w:rPr>
              <m:t>A</m:t>
            </m:r>
          </m:e>
          <m:sub>
            <m:r>
              <w:rPr>
                <w:rFonts w:ascii="Cambria Math" w:hAnsi="Cambria Math"/>
              </w:rPr>
              <m:t>a</m:t>
            </m:r>
          </m:sub>
        </m:sSub>
      </m:oMath>
      <w:r w:rsidRPr="009238F2">
        <w:t xml:space="preserve">), and the kinetic model (g(α) or f(α)). The following kinetic equations are typically recommended by the International Committee of Thermal Analysis and Calorimetry (ICTAC) to explain the single-step thermal decomposition process </w:t>
      </w:r>
      <w:r w:rsidRPr="009238F2">
        <w:fldChar w:fldCharType="begin"/>
      </w:r>
      <w:r w:rsidR="00A15F64">
        <w:instrText xml:space="preserve"> ADDIN EN.CITE &lt;EndNote&gt;&lt;Cite&gt;&lt;Author&gt;Koga&lt;/Author&gt;&lt;Year&gt;2022&lt;/Year&gt;&lt;RecNum&gt;33&lt;/RecNum&gt;&lt;DisplayText&gt;(Koga, Vyazovkin, et al. 2022)&lt;/DisplayText&gt;&lt;record&gt;&lt;rec-number&gt;33&lt;/rec-number&gt;&lt;foreign-keys&gt;&lt;key app="EN" db-id="sdvpdv0smwr5wzetve1paxxrd52essr05fre"&gt;33&lt;/key&gt;&lt;/foreign-keys&gt;&lt;ref-type name="Journal Article"&gt;17&lt;/ref-type&gt;&lt;contributors&gt;&lt;authors&gt;&lt;author&gt;Koga, Nobuyoshi&lt;/author&gt;&lt;author&gt;Vyazovkin, Sergey&lt;/author&gt;&lt;author&gt;Burnham, Alan K&lt;/author&gt;&lt;author&gt;Favergeon, Loic&lt;/author&gt;&lt;author&gt;Muravyev, Nikita V&lt;/author&gt;&lt;author&gt;Perez-Maqueda, Luis A&lt;/author&gt;&lt;author&gt;Saggese, Chiara&lt;/author&gt;&lt;author&gt;Sánchez-Jiménez, Pedro E&lt;/author&gt;&lt;/authors&gt;&lt;/contributors&gt;&lt;titles&gt;&lt;title&gt;ICTAC Kinetics Committee recommendations for analysis of thermal decomposition kinetics&lt;/title&gt;&lt;secondary-title&gt;Thermochimica Acta&lt;/secondary-title&gt;&lt;/titles&gt;&lt;pages&gt;179384&lt;/pages&gt;&lt;dates&gt;&lt;year&gt;2022&lt;/year&gt;&lt;/dates&gt;&lt;isbn&gt;0040-6031&lt;/isbn&gt;&lt;urls&gt;&lt;/urls&gt;&lt;electronic-resource-num&gt;https://doi.org/10.1016/j.tca.2022.179384&lt;/electronic-resource-num&gt;&lt;/record&gt;&lt;/Cite&gt;&lt;/EndNote&gt;</w:instrText>
      </w:r>
      <w:r w:rsidRPr="009238F2">
        <w:fldChar w:fldCharType="separate"/>
      </w:r>
      <w:r w:rsidR="00A15F64">
        <w:rPr>
          <w:noProof/>
        </w:rPr>
        <w:t>(</w:t>
      </w:r>
      <w:hyperlink w:anchor="_ENREF_14" w:tooltip="Koga, 2022 #33" w:history="1">
        <w:r w:rsidR="00E941E0">
          <w:rPr>
            <w:noProof/>
          </w:rPr>
          <w:t>Koga, Vyazovkin, et al. 2022</w:t>
        </w:r>
      </w:hyperlink>
      <w:r w:rsidR="00A15F64">
        <w:rPr>
          <w:noProof/>
        </w:rPr>
        <w:t>)</w:t>
      </w:r>
      <w:r w:rsidRPr="009238F2">
        <w:fldChar w:fldCharType="end"/>
      </w:r>
      <w:r w:rsidRPr="009238F2">
        <w:t>.</w:t>
      </w:r>
    </w:p>
    <w:p w14:paraId="16E0E358" w14:textId="1228185C" w:rsidR="009238F2" w:rsidRPr="009238F2" w:rsidRDefault="00267C71" w:rsidP="009238F2">
      <w:pPr>
        <w:pStyle w:val="CETBodytext"/>
      </w:pPr>
      <m:oMath>
        <m:f>
          <m:fPr>
            <m:ctrlPr>
              <w:rPr>
                <w:rFonts w:ascii="Cambria Math" w:hAnsi="Cambria Math"/>
              </w:rPr>
            </m:ctrlPr>
          </m:fPr>
          <m:num>
            <m:r>
              <w:rPr>
                <w:rFonts w:ascii="Cambria Math" w:hAnsi="Cambria Math"/>
              </w:rPr>
              <m:t>dα</m:t>
            </m:r>
          </m:num>
          <m:den>
            <m:r>
              <w:rPr>
                <w:rFonts w:ascii="Cambria Math" w:hAnsi="Cambria Math"/>
              </w:rPr>
              <m:t>dT</m:t>
            </m:r>
          </m:den>
        </m:f>
        <m:r>
          <m:rPr>
            <m:sty m:val="p"/>
          </m:rPr>
          <w:rPr>
            <w:rFonts w:ascii="Cambria Math" w:hAnsi="Cambria Math"/>
          </w:rPr>
          <m:t xml:space="preserve">= </m:t>
        </m:r>
        <m:f>
          <m:fPr>
            <m:ctrlPr>
              <w:rPr>
                <w:rFonts w:ascii="Cambria Math" w:hAnsi="Cambria Math"/>
              </w:rPr>
            </m:ctrlPr>
          </m:fPr>
          <m:num>
            <m:r>
              <w:rPr>
                <w:rFonts w:ascii="Cambria Math" w:hAnsi="Cambria Math"/>
              </w:rPr>
              <m:t>A</m:t>
            </m:r>
          </m:num>
          <m:den>
            <m:r>
              <w:rPr>
                <w:rFonts w:ascii="Cambria Math" w:hAnsi="Cambria Math"/>
              </w:rPr>
              <m:t>β</m:t>
            </m:r>
          </m:den>
        </m:f>
        <m:func>
          <m:funcPr>
            <m:ctrlPr>
              <w:rPr>
                <w:rFonts w:ascii="Cambria Math" w:hAnsi="Cambria Math"/>
              </w:rPr>
            </m:ctrlPr>
          </m:funcPr>
          <m:fName>
            <m:sSup>
              <m:sSupPr>
                <m:ctrlPr>
                  <w:rPr>
                    <w:rFonts w:ascii="Cambria Math" w:hAnsi="Cambria Math"/>
                  </w:rPr>
                </m:ctrlPr>
              </m:sSupPr>
              <m:e>
                <m:r>
                  <w:rPr>
                    <w:rFonts w:ascii="Cambria Math" w:hAnsi="Cambria Math"/>
                  </w:rPr>
                  <m:t>e</m:t>
                </m:r>
              </m:e>
              <m:sup>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a</m:t>
                            </m:r>
                          </m:sub>
                        </m:sSub>
                      </m:num>
                      <m:den>
                        <m:r>
                          <w:rPr>
                            <w:rFonts w:ascii="Cambria Math" w:hAnsi="Cambria Math"/>
                          </w:rPr>
                          <m:t>RT</m:t>
                        </m:r>
                      </m:den>
                    </m:f>
                  </m:e>
                </m:d>
              </m:sup>
            </m:sSup>
          </m:fName>
          <m:e>
            <m:r>
              <w:rPr>
                <w:rFonts w:ascii="Cambria Math" w:hAnsi="Cambria Math"/>
              </w:rPr>
              <m:t>f</m:t>
            </m:r>
            <m:r>
              <m:rPr>
                <m:sty m:val="p"/>
              </m:rPr>
              <w:rPr>
                <w:rFonts w:ascii="Cambria Math" w:hAnsi="Cambria Math"/>
              </w:rPr>
              <m:t>(</m:t>
            </m:r>
            <m:r>
              <w:rPr>
                <w:rFonts w:ascii="Cambria Math" w:hAnsi="Cambria Math"/>
              </w:rPr>
              <m:t>α</m:t>
            </m:r>
            <m:r>
              <m:rPr>
                <m:sty m:val="p"/>
              </m:rPr>
              <w:rPr>
                <w:rFonts w:ascii="Cambria Math" w:hAnsi="Cambria Math"/>
              </w:rPr>
              <m:t>)</m:t>
            </m:r>
          </m:e>
        </m:func>
      </m:oMath>
      <w:r w:rsidR="009238F2" w:rsidRPr="009238F2">
        <w:t xml:space="preserve">                                                                                                        </w:t>
      </w:r>
      <w:r w:rsidR="00BC372E">
        <w:t xml:space="preserve">         </w:t>
      </w:r>
      <w:r w:rsidR="00BC372E">
        <w:tab/>
      </w:r>
      <w:r w:rsidR="00BC372E">
        <w:tab/>
      </w:r>
      <w:r w:rsidR="009238F2" w:rsidRPr="009238F2">
        <w:t xml:space="preserve">            (1)</w:t>
      </w:r>
    </w:p>
    <w:p w14:paraId="4C7E696E" w14:textId="5033328F" w:rsidR="009238F2" w:rsidRPr="009238F2" w:rsidRDefault="009238F2" w:rsidP="009238F2">
      <w:pPr>
        <w:pStyle w:val="CETBodytext"/>
      </w:pPr>
      <m:oMath>
        <m:r>
          <w:rPr>
            <w:rFonts w:ascii="Cambria Math" w:hAnsi="Cambria Math"/>
          </w:rPr>
          <w:lastRenderedPageBreak/>
          <m:t>g</m:t>
        </m:r>
        <m:d>
          <m:dPr>
            <m:ctrlPr>
              <w:rPr>
                <w:rFonts w:ascii="Cambria Math" w:hAnsi="Cambria Math"/>
              </w:rPr>
            </m:ctrlPr>
          </m:dPr>
          <m:e>
            <m:r>
              <w:rPr>
                <w:rFonts w:ascii="Cambria Math" w:hAnsi="Cambria Math"/>
              </w:rPr>
              <m:t>α</m:t>
            </m:r>
          </m:e>
        </m:d>
        <m:r>
          <m:rPr>
            <m:sty m:val="p"/>
          </m:rPr>
          <w:rPr>
            <w:rFonts w:ascii="Cambria Math" w:hAnsi="Cambria Math"/>
          </w:rPr>
          <m:t xml:space="preserve">= </m:t>
        </m:r>
        <m:nary>
          <m:naryPr>
            <m:limLoc m:val="undOvr"/>
            <m:ctrlPr>
              <w:rPr>
                <w:rFonts w:ascii="Cambria Math" w:hAnsi="Cambria Math"/>
              </w:rPr>
            </m:ctrlPr>
          </m:naryPr>
          <m:sub>
            <m:r>
              <m:rPr>
                <m:sty m:val="p"/>
              </m:rPr>
              <w:rPr>
                <w:rFonts w:ascii="Cambria Math" w:hAnsi="Cambria Math"/>
              </w:rPr>
              <m:t>0</m:t>
            </m:r>
          </m:sub>
          <m:sup>
            <m:r>
              <w:rPr>
                <w:rFonts w:ascii="Cambria Math" w:hAnsi="Cambria Math"/>
              </w:rPr>
              <m:t>α</m:t>
            </m:r>
          </m:sup>
          <m:e>
            <m:f>
              <m:fPr>
                <m:ctrlPr>
                  <w:rPr>
                    <w:rFonts w:ascii="Cambria Math" w:hAnsi="Cambria Math"/>
                  </w:rPr>
                </m:ctrlPr>
              </m:fPr>
              <m:num>
                <m:r>
                  <w:rPr>
                    <w:rFonts w:ascii="Cambria Math" w:hAnsi="Cambria Math"/>
                  </w:rPr>
                  <m:t>dα</m:t>
                </m:r>
              </m:num>
              <m:den>
                <m:r>
                  <w:rPr>
                    <w:rFonts w:ascii="Cambria Math" w:hAnsi="Cambria Math"/>
                  </w:rPr>
                  <m:t>f</m:t>
                </m:r>
                <m:r>
                  <m:rPr>
                    <m:sty m:val="p"/>
                  </m:rPr>
                  <w:rPr>
                    <w:rFonts w:ascii="Cambria Math" w:hAnsi="Cambria Math"/>
                  </w:rPr>
                  <m:t>(</m:t>
                </m:r>
                <m:r>
                  <w:rPr>
                    <w:rFonts w:ascii="Cambria Math" w:hAnsi="Cambria Math"/>
                  </w:rPr>
                  <m:t>α</m:t>
                </m:r>
                <m:r>
                  <m:rPr>
                    <m:sty m:val="p"/>
                  </m:rPr>
                  <w:rPr>
                    <w:rFonts w:ascii="Cambria Math" w:hAnsi="Cambria Math"/>
                  </w:rPr>
                  <m:t>)</m:t>
                </m:r>
              </m:den>
            </m:f>
          </m:e>
        </m:nary>
        <m:r>
          <m:rPr>
            <m:sty m:val="p"/>
          </m:rPr>
          <w:rPr>
            <w:rFonts w:ascii="Cambria Math" w:hAnsi="Cambria Math"/>
          </w:rPr>
          <m:t>=</m:t>
        </m:r>
        <m:f>
          <m:fPr>
            <m:ctrlPr>
              <w:rPr>
                <w:rFonts w:ascii="Cambria Math" w:hAnsi="Cambria Math"/>
              </w:rPr>
            </m:ctrlPr>
          </m:fPr>
          <m:num>
            <m:r>
              <w:rPr>
                <w:rFonts w:ascii="Cambria Math" w:hAnsi="Cambria Math"/>
              </w:rPr>
              <m:t>A</m:t>
            </m:r>
          </m:num>
          <m:den>
            <m:r>
              <w:rPr>
                <w:rFonts w:ascii="Cambria Math" w:hAnsi="Cambria Math"/>
              </w:rPr>
              <m:t>β</m:t>
            </m:r>
          </m:den>
        </m:f>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a</m:t>
                    </m:r>
                  </m:sub>
                </m:sSub>
                <m:r>
                  <m:rPr>
                    <m:sty m:val="p"/>
                  </m:rPr>
                  <w:rPr>
                    <w:rFonts w:ascii="Cambria Math" w:hAnsi="Cambria Math"/>
                  </w:rPr>
                  <m:t>/</m:t>
                </m:r>
                <m:r>
                  <w:rPr>
                    <w:rFonts w:ascii="Cambria Math" w:hAnsi="Cambria Math"/>
                  </w:rPr>
                  <m:t>RT</m:t>
                </m:r>
              </m:sup>
            </m:sSup>
            <m:r>
              <w:rPr>
                <w:rFonts w:ascii="Cambria Math" w:hAnsi="Cambria Math"/>
              </w:rPr>
              <m:t>dT</m:t>
            </m:r>
          </m:e>
        </m:nary>
      </m:oMath>
      <w:r w:rsidRPr="009238F2">
        <w:t xml:space="preserve">                                                                                 </w:t>
      </w:r>
      <w:r w:rsidR="00BC372E">
        <w:tab/>
        <w:t xml:space="preserve">               </w:t>
      </w:r>
      <w:r w:rsidRPr="009238F2">
        <w:t xml:space="preserve">                     (2)</w:t>
      </w:r>
    </w:p>
    <w:p w14:paraId="289F7F39" w14:textId="3D94FE10" w:rsidR="009238F2" w:rsidRPr="009238F2" w:rsidRDefault="009238F2" w:rsidP="00E941E0">
      <w:pPr>
        <w:pStyle w:val="CETBodytext"/>
      </w:pPr>
      <w:r w:rsidRPr="009238F2">
        <w:t xml:space="preserve">Where </w:t>
      </w:r>
      <m:oMath>
        <m:r>
          <w:rPr>
            <w:rFonts w:ascii="Cambria Math" w:hAnsi="Cambria Math"/>
          </w:rPr>
          <m:t>A</m:t>
        </m:r>
      </m:oMath>
      <w:r w:rsidRPr="009238F2">
        <w:t xml:space="preserve">, </w:t>
      </w:r>
      <w:proofErr w:type="spellStart"/>
      <w:r w:rsidRPr="009238F2">
        <w:rPr>
          <w:i/>
          <w:iCs/>
        </w:rPr>
        <w:t>Ea</w:t>
      </w:r>
      <w:proofErr w:type="spellEnd"/>
      <w:r w:rsidRPr="009238F2">
        <w:t xml:space="preserve">, </w:t>
      </w:r>
      <w:r w:rsidRPr="00C06D39">
        <w:rPr>
          <w:i/>
          <w:iCs/>
        </w:rPr>
        <w:t>f</w:t>
      </w:r>
      <w:r w:rsidRPr="009238F2">
        <w:t>(</w:t>
      </w:r>
      <w:r w:rsidRPr="00465E55">
        <w:rPr>
          <w:i/>
          <w:iCs/>
        </w:rPr>
        <w:t>α</w:t>
      </w:r>
      <w:r w:rsidRPr="009238F2">
        <w:t xml:space="preserve">) and </w:t>
      </w:r>
      <w:r w:rsidRPr="00C06D39">
        <w:rPr>
          <w:i/>
          <w:iCs/>
        </w:rPr>
        <w:t>g</w:t>
      </w:r>
      <w:r w:rsidRPr="009238F2">
        <w:t>(</w:t>
      </w:r>
      <w:r w:rsidRPr="00465E55">
        <w:rPr>
          <w:i/>
          <w:iCs/>
        </w:rPr>
        <w:t>α</w:t>
      </w:r>
      <w:r w:rsidRPr="009238F2">
        <w:t xml:space="preserve">) are the preexponential factor, activation energy, differential and integral forms of the model, respectively, and </w:t>
      </w:r>
      <m:oMath>
        <m:r>
          <w:rPr>
            <w:rFonts w:ascii="Cambria Math" w:hAnsi="Cambria Math"/>
          </w:rPr>
          <m:t>α</m:t>
        </m:r>
      </m:oMath>
      <w:r w:rsidRPr="009238F2">
        <w:t xml:space="preserve"> is the extent of conversion (0 &lt;</w:t>
      </w:r>
      <m:oMath>
        <m:r>
          <m:rPr>
            <m:sty m:val="p"/>
          </m:rPr>
          <w:rPr>
            <w:rFonts w:ascii="Cambria Math" w:hAnsi="Cambria Math"/>
          </w:rPr>
          <m:t xml:space="preserve"> </m:t>
        </m:r>
        <m:r>
          <w:rPr>
            <w:rFonts w:ascii="Cambria Math" w:hAnsi="Cambria Math"/>
          </w:rPr>
          <m:t>α</m:t>
        </m:r>
      </m:oMath>
      <w:r w:rsidRPr="009238F2">
        <w:t xml:space="preserve"> &lt; 1). The collection of these parameters is termed the kinetics triplet (</w:t>
      </w:r>
      <w:proofErr w:type="spellStart"/>
      <w:r w:rsidRPr="009238F2">
        <w:rPr>
          <w:i/>
          <w:iCs/>
        </w:rPr>
        <w:t>E</w:t>
      </w:r>
      <w:r w:rsidRPr="009238F2">
        <w:t>a</w:t>
      </w:r>
      <w:proofErr w:type="spellEnd"/>
      <w:r w:rsidRPr="009238F2">
        <w:t>, Log (</w:t>
      </w:r>
      <w:r w:rsidRPr="009238F2">
        <w:rPr>
          <w:i/>
          <w:iCs/>
        </w:rPr>
        <w:t>A</w:t>
      </w:r>
      <w:r w:rsidRPr="009238F2">
        <w:t xml:space="preserve">), </w:t>
      </w:r>
      <w:r w:rsidRPr="00C06D39">
        <w:rPr>
          <w:i/>
          <w:iCs/>
        </w:rPr>
        <w:t>g</w:t>
      </w:r>
      <w:r w:rsidRPr="009238F2">
        <w:t>(</w:t>
      </w:r>
      <w:r w:rsidRPr="00C06D39">
        <w:rPr>
          <w:i/>
          <w:iCs/>
        </w:rPr>
        <w:t>α</w:t>
      </w:r>
      <w:r w:rsidRPr="009238F2">
        <w:t xml:space="preserve">)). It is interesting to point out that forty-one types of common kinetic models have previously been presented based on </w:t>
      </w:r>
      <m:oMath>
        <m:r>
          <w:rPr>
            <w:rFonts w:ascii="Cambria Math" w:hAnsi="Cambria Math"/>
          </w:rPr>
          <m:t>f</m:t>
        </m:r>
        <m:r>
          <m:rPr>
            <m:sty m:val="p"/>
          </m:rPr>
          <w:rPr>
            <w:rFonts w:ascii="Cambria Math" w:hAnsi="Cambria Math"/>
          </w:rPr>
          <m:t>(</m:t>
        </m:r>
        <m:r>
          <w:rPr>
            <w:rFonts w:ascii="Cambria Math" w:hAnsi="Cambria Math"/>
          </w:rPr>
          <m:t>α</m:t>
        </m:r>
        <m:r>
          <m:rPr>
            <m:sty m:val="p"/>
          </m:rPr>
          <w:rPr>
            <w:rFonts w:ascii="Cambria Math" w:hAnsi="Cambria Math"/>
          </w:rPr>
          <m:t>)</m:t>
        </m:r>
      </m:oMath>
      <w:r w:rsidRPr="009238F2">
        <w:t xml:space="preserve"> or </w:t>
      </w:r>
      <m:oMath>
        <m:r>
          <w:rPr>
            <w:rFonts w:ascii="Cambria Math" w:hAnsi="Cambria Math"/>
          </w:rPr>
          <m:t>g</m:t>
        </m:r>
        <m:d>
          <m:dPr>
            <m:ctrlPr>
              <w:rPr>
                <w:rFonts w:ascii="Cambria Math" w:hAnsi="Cambria Math"/>
              </w:rPr>
            </m:ctrlPr>
          </m:dPr>
          <m:e>
            <m:r>
              <w:rPr>
                <w:rFonts w:ascii="Cambria Math" w:hAnsi="Cambria Math"/>
              </w:rPr>
              <m:t>α</m:t>
            </m:r>
          </m:e>
        </m:d>
      </m:oMath>
      <w:r w:rsidRPr="009238F2">
        <w:t xml:space="preserve"> </w:t>
      </w:r>
      <w:r w:rsidRPr="009238F2">
        <w:fldChar w:fldCharType="begin"/>
      </w:r>
      <w:r w:rsidR="005604FC">
        <w:instrText xml:space="preserve"> ADDIN EN.CITE &lt;EndNote&gt;&lt;Cite&gt;&lt;Author&gt;Pourmortazavi&lt;/Author&gt;&lt;Year&gt;2019&lt;/Year&gt;&lt;RecNum&gt;35&lt;/RecNum&gt;&lt;DisplayText&gt;(Pourmortazavi, Mirzajani, et al. 2019b)&lt;/DisplayText&gt;&lt;record&gt;&lt;rec-number&gt;35&lt;/rec-number&gt;&lt;foreign-keys&gt;&lt;key app="EN" db-id="sdvpdv0smwr5wzetve1paxxrd52essr05fre"&gt;35&lt;/key&gt;&lt;/foreign-keys&gt;&lt;ref-type name="Journal Article"&gt;17&lt;/ref-type&gt;&lt;contributors&gt;&lt;authors&gt;&lt;author&gt;Pourmortazavi, Seied Mahdi&lt;/author&gt;&lt;author&gt;Mirzajani, Vahid&lt;/author&gt;&lt;author&gt;Farhadi, Khalil&lt;/author&gt;&lt;/authors&gt;&lt;/contributors&gt;&lt;titles&gt;&lt;title&gt;Thermal behavior and thermokinetic of double-base propellant catalyzed with magnesium oxide nanoparticles&lt;/title&gt;&lt;secondary-title&gt;Journal of Thermal Analysis and Calorimetry&lt;/secondary-title&gt;&lt;/titles&gt;&lt;pages&gt;93-104&lt;/pages&gt;&lt;volume&gt;137&lt;/volume&gt;&lt;number&gt;1&lt;/number&gt;&lt;dates&gt;&lt;year&gt;2019&lt;/year&gt;&lt;/dates&gt;&lt;isbn&gt;1588-2926&lt;/isbn&gt;&lt;urls&gt;&lt;/urls&gt;&lt;electronic-resource-num&gt;https://doi.org/10.1007/s10973-018-7904-5&lt;/electronic-resource-num&gt;&lt;/record&gt;&lt;/Cite&gt;&lt;/EndNote&gt;</w:instrText>
      </w:r>
      <w:r w:rsidRPr="009238F2">
        <w:fldChar w:fldCharType="separate"/>
      </w:r>
      <w:r w:rsidR="005604FC">
        <w:rPr>
          <w:noProof/>
        </w:rPr>
        <w:t>(</w:t>
      </w:r>
      <w:hyperlink w:anchor="_ENREF_21" w:tooltip="Pourmortazavi, 2019 #35" w:history="1">
        <w:r w:rsidR="00E941E0">
          <w:rPr>
            <w:noProof/>
          </w:rPr>
          <w:t>Pourmortazavi, Mirzajani, et al. 2019b</w:t>
        </w:r>
      </w:hyperlink>
      <w:r w:rsidR="005604FC">
        <w:rPr>
          <w:noProof/>
        </w:rPr>
        <w:t>)</w:t>
      </w:r>
      <w:r w:rsidRPr="009238F2">
        <w:fldChar w:fldCharType="end"/>
      </w:r>
      <w:r w:rsidRPr="009238F2">
        <w:t>.</w:t>
      </w:r>
    </w:p>
    <w:p w14:paraId="09E07485" w14:textId="6C840738" w:rsidR="009238F2" w:rsidRPr="009238F2" w:rsidRDefault="009238F2" w:rsidP="00E941E0">
      <w:pPr>
        <w:pStyle w:val="CETBodytext"/>
      </w:pPr>
      <w:r w:rsidRPr="009238F2">
        <w:t xml:space="preserve">DSC technique is the commonly employed tool for studying the kinetic processes, as it allows the determination of the kinetic factors by linking the heat flow to the reaction rate. The value of </w:t>
      </w:r>
      <w:r w:rsidRPr="009238F2">
        <w:rPr>
          <w:i/>
          <w:iCs/>
        </w:rPr>
        <w:t>α</w:t>
      </w:r>
      <w:r w:rsidRPr="009238F2">
        <w:t xml:space="preserve"> can be determined from the temperature integral of the thermograms by using Equation (3), in which ∆</w:t>
      </w:r>
      <w:r w:rsidRPr="009238F2">
        <w:rPr>
          <w:i/>
          <w:iCs/>
        </w:rPr>
        <w:t>H</w:t>
      </w:r>
      <w:r w:rsidRPr="009238F2">
        <w:t xml:space="preserve"> is the  measured heat change and </w:t>
      </w:r>
      <m:oMath>
        <m:sSub>
          <m:sSubPr>
            <m:ctrlPr>
              <w:rPr>
                <w:rFonts w:ascii="Cambria Math" w:hAnsi="Cambria Math"/>
              </w:rPr>
            </m:ctrlPr>
          </m:sSubPr>
          <m:e>
            <m:r>
              <m:rPr>
                <m:sty m:val="p"/>
              </m:rPr>
              <w:rPr>
                <w:rFonts w:ascii="Cambria Math" w:hAnsi="Cambria Math"/>
              </w:rPr>
              <m:t>∆</m:t>
            </m:r>
            <m:r>
              <w:rPr>
                <w:rFonts w:ascii="Cambria Math" w:hAnsi="Cambria Math"/>
              </w:rPr>
              <m:t>H</m:t>
            </m:r>
            <m:r>
              <m:rPr>
                <m:sty m:val="p"/>
              </m:rPr>
              <w:rPr>
                <w:rFonts w:ascii="Cambria Math" w:hAnsi="Cambria Math"/>
              </w:rPr>
              <m:t xml:space="preserve"> </m:t>
            </m:r>
          </m:e>
          <m:sub>
            <m:r>
              <w:rPr>
                <w:rFonts w:ascii="Cambria Math" w:hAnsi="Cambria Math"/>
              </w:rPr>
              <m:t>total</m:t>
            </m:r>
          </m:sub>
        </m:sSub>
      </m:oMath>
      <w:r w:rsidRPr="009238F2">
        <w:t xml:space="preserve"> is the total reaction heat </w:t>
      </w:r>
      <w:r w:rsidRPr="009238F2">
        <w:fldChar w:fldCharType="begin"/>
      </w:r>
      <w:r w:rsidR="004F602E">
        <w:instrText xml:space="preserve"> ADDIN EN.CITE &lt;EndNote&gt;&lt;Cite&gt;&lt;Author&gt;Zhang&lt;/Author&gt;&lt;Year&gt;2011&lt;/Year&gt;&lt;RecNum&gt;37&lt;/RecNum&gt;&lt;DisplayText&gt;(Zhang, Binienda, et al. 2011)&lt;/DisplayText&gt;&lt;record&gt;&lt;rec-number&gt;37&lt;/rec-number&gt;&lt;foreign-keys&gt;&lt;key app="EN" db-id="sdvpdv0smwr5wzetve1paxxrd52essr05fre"&gt;37&lt;/key&gt;&lt;/foreign-keys&gt;&lt;ref-type name="Journal Article"&gt;17&lt;/ref-type&gt;&lt;contributors&gt;&lt;authors&gt;&lt;author&gt;Zhang, Chao&lt;/author&gt;&lt;author&gt;Binienda, Wieslaw K&lt;/author&gt;&lt;author&gt;Zeng, Liming&lt;/author&gt;&lt;author&gt;Ye, Xiaochuan&lt;/author&gt;&lt;author&gt;Chen, Shuwen&lt;/author&gt;&lt;/authors&gt;&lt;/contributors&gt;&lt;titles&gt;&lt;title&gt;Kinetic study of the novolac resin curing process using model fitting and model-free methods&lt;/title&gt;&lt;secondary-title&gt;Thermochimica Acta&lt;/secondary-title&gt;&lt;/titles&gt;&lt;pages&gt;63-69&lt;/pages&gt;&lt;volume&gt;523&lt;/volume&gt;&lt;number&gt;1-2&lt;/number&gt;&lt;dates&gt;&lt;year&gt;2011&lt;/year&gt;&lt;/dates&gt;&lt;isbn&gt;0040-6031&lt;/isbn&gt;&lt;urls&gt;&lt;/urls&gt;&lt;electronic-resource-num&gt;https://doi.org/10.1016/j.tca.2011.04.033&lt;/electronic-resource-num&gt;&lt;/record&gt;&lt;/Cite&gt;&lt;/EndNote&gt;</w:instrText>
      </w:r>
      <w:r w:rsidRPr="009238F2">
        <w:fldChar w:fldCharType="separate"/>
      </w:r>
      <w:r w:rsidR="004F602E">
        <w:rPr>
          <w:noProof/>
        </w:rPr>
        <w:t>(</w:t>
      </w:r>
      <w:hyperlink w:anchor="_ENREF_30" w:tooltip="Zhang, 2011 #37" w:history="1">
        <w:r w:rsidR="00E941E0">
          <w:rPr>
            <w:noProof/>
          </w:rPr>
          <w:t>Zhang, Binienda, et al. 2011</w:t>
        </w:r>
      </w:hyperlink>
      <w:r w:rsidR="004F602E">
        <w:rPr>
          <w:noProof/>
        </w:rPr>
        <w:t>)</w:t>
      </w:r>
      <w:r w:rsidRPr="009238F2">
        <w:fldChar w:fldCharType="end"/>
      </w:r>
      <w:r w:rsidRPr="009238F2">
        <w:t>.</w:t>
      </w:r>
    </w:p>
    <w:p w14:paraId="02E2B862" w14:textId="34932A03" w:rsidR="009238F2" w:rsidRPr="009238F2" w:rsidRDefault="009238F2" w:rsidP="009238F2">
      <w:pPr>
        <w:pStyle w:val="CETBodytext"/>
      </w:pPr>
      <m:oMath>
        <m:r>
          <w:rPr>
            <w:rFonts w:ascii="Cambria Math" w:hAnsi="Cambria Math"/>
          </w:rPr>
          <m:t>α</m:t>
        </m:r>
        <m:r>
          <m:rPr>
            <m:sty m:val="p"/>
          </m:rPr>
          <w:rPr>
            <w:rFonts w:ascii="Cambria Math" w:hAnsi="Cambria Math"/>
          </w:rPr>
          <m:t xml:space="preserve">= </m:t>
        </m:r>
        <m:f>
          <m:fPr>
            <m:ctrlPr>
              <w:rPr>
                <w:rFonts w:ascii="Cambria Math" w:hAnsi="Cambria Math"/>
              </w:rPr>
            </m:ctrlPr>
          </m:fPr>
          <m:num>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d>
                  <m:dPr>
                    <m:ctrlPr>
                      <w:rPr>
                        <w:rFonts w:ascii="Cambria Math" w:hAnsi="Cambria Math"/>
                      </w:rPr>
                    </m:ctrlPr>
                  </m:dPr>
                  <m:e>
                    <m:f>
                      <m:fPr>
                        <m:type m:val="skw"/>
                        <m:ctrlPr>
                          <w:rPr>
                            <w:rFonts w:ascii="Cambria Math" w:hAnsi="Cambria Math"/>
                          </w:rPr>
                        </m:ctrlPr>
                      </m:fPr>
                      <m:num>
                        <m:r>
                          <w:rPr>
                            <w:rFonts w:ascii="Cambria Math" w:hAnsi="Cambria Math"/>
                          </w:rPr>
                          <m:t>dH</m:t>
                        </m:r>
                      </m:num>
                      <m:den>
                        <m:r>
                          <w:rPr>
                            <w:rFonts w:ascii="Cambria Math" w:hAnsi="Cambria Math"/>
                          </w:rPr>
                          <m:t>dt</m:t>
                        </m:r>
                      </m:den>
                    </m:f>
                  </m:e>
                </m:d>
                <m:r>
                  <w:rPr>
                    <w:rFonts w:ascii="Cambria Math" w:hAnsi="Cambria Math"/>
                  </w:rPr>
                  <m:t>dt</m:t>
                </m:r>
              </m:e>
            </m:nary>
          </m:num>
          <m:den>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sSub>
                  <m:sSubPr>
                    <m:ctrlPr>
                      <w:rPr>
                        <w:rFonts w:ascii="Cambria Math" w:hAnsi="Cambria Math"/>
                      </w:rPr>
                    </m:ctrlPr>
                  </m:sSubPr>
                  <m:e>
                    <m:r>
                      <w:rPr>
                        <w:rFonts w:ascii="Cambria Math" w:hAnsi="Cambria Math"/>
                      </w:rPr>
                      <m:t>t</m:t>
                    </m:r>
                  </m:e>
                  <m:sub>
                    <m:r>
                      <w:rPr>
                        <w:rFonts w:ascii="Cambria Math" w:hAnsi="Cambria Math"/>
                      </w:rPr>
                      <m:t>f</m:t>
                    </m:r>
                  </m:sub>
                </m:sSub>
              </m:sup>
              <m:e>
                <m:d>
                  <m:dPr>
                    <m:ctrlPr>
                      <w:rPr>
                        <w:rFonts w:ascii="Cambria Math" w:hAnsi="Cambria Math"/>
                      </w:rPr>
                    </m:ctrlPr>
                  </m:dPr>
                  <m:e>
                    <m:f>
                      <m:fPr>
                        <m:type m:val="skw"/>
                        <m:ctrlPr>
                          <w:rPr>
                            <w:rFonts w:ascii="Cambria Math" w:hAnsi="Cambria Math"/>
                          </w:rPr>
                        </m:ctrlPr>
                      </m:fPr>
                      <m:num>
                        <m:r>
                          <w:rPr>
                            <w:rFonts w:ascii="Cambria Math" w:hAnsi="Cambria Math"/>
                          </w:rPr>
                          <m:t>dH</m:t>
                        </m:r>
                      </m:num>
                      <m:den>
                        <m:r>
                          <w:rPr>
                            <w:rFonts w:ascii="Cambria Math" w:hAnsi="Cambria Math"/>
                          </w:rPr>
                          <m:t>dt</m:t>
                        </m:r>
                      </m:den>
                    </m:f>
                  </m:e>
                </m:d>
                <m:r>
                  <w:rPr>
                    <w:rFonts w:ascii="Cambria Math" w:hAnsi="Cambria Math"/>
                  </w:rPr>
                  <m:t>dt</m:t>
                </m:r>
              </m:e>
            </m:nary>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m:t>
            </m:r>
            <m:r>
              <w:rPr>
                <w:rFonts w:ascii="Cambria Math" w:hAnsi="Cambria Math"/>
              </w:rPr>
              <m:t>H</m:t>
            </m:r>
            <m:r>
              <m:rPr>
                <m:sty m:val="p"/>
              </m:rPr>
              <w:rPr>
                <w:rFonts w:ascii="Cambria Math" w:hAnsi="Cambria Math"/>
              </w:rPr>
              <m:t xml:space="preserve"> </m:t>
            </m:r>
          </m:num>
          <m:den>
            <m:sSub>
              <m:sSubPr>
                <m:ctrlPr>
                  <w:rPr>
                    <w:rFonts w:ascii="Cambria Math" w:hAnsi="Cambria Math"/>
                  </w:rPr>
                </m:ctrlPr>
              </m:sSubPr>
              <m:e>
                <m:r>
                  <m:rPr>
                    <m:sty m:val="p"/>
                  </m:rPr>
                  <w:rPr>
                    <w:rFonts w:ascii="Cambria Math" w:hAnsi="Cambria Math"/>
                  </w:rPr>
                  <m:t>∆</m:t>
                </m:r>
                <m:r>
                  <w:rPr>
                    <w:rFonts w:ascii="Cambria Math" w:hAnsi="Cambria Math"/>
                  </w:rPr>
                  <m:t>H</m:t>
                </m:r>
                <m:r>
                  <m:rPr>
                    <m:sty m:val="p"/>
                  </m:rPr>
                  <w:rPr>
                    <w:rFonts w:ascii="Cambria Math" w:hAnsi="Cambria Math"/>
                  </w:rPr>
                  <m:t xml:space="preserve"> </m:t>
                </m:r>
              </m:e>
              <m:sub>
                <m:r>
                  <w:rPr>
                    <w:rFonts w:ascii="Cambria Math" w:hAnsi="Cambria Math"/>
                  </w:rPr>
                  <m:t>total</m:t>
                </m:r>
              </m:sub>
            </m:sSub>
          </m:den>
        </m:f>
      </m:oMath>
      <w:r w:rsidRPr="009238F2">
        <w:t xml:space="preserve">                                                                                                        </w:t>
      </w:r>
      <w:r w:rsidR="00BC372E">
        <w:tab/>
        <w:t xml:space="preserve">         </w:t>
      </w:r>
      <w:r w:rsidRPr="009238F2">
        <w:t xml:space="preserve">    (3)</w:t>
      </w:r>
    </w:p>
    <w:p w14:paraId="4E6B5ED3" w14:textId="41BDDF68" w:rsidR="00235946" w:rsidRDefault="009238F2" w:rsidP="00E941E0">
      <w:pPr>
        <w:pStyle w:val="CETBodytext"/>
      </w:pPr>
      <w:r w:rsidRPr="009238F2">
        <w:t xml:space="preserve">Isoconversional methods are considered the most dependable approaches for determining the kinetic triplet of thermally activated reactions </w:t>
      </w:r>
      <w:r w:rsidRPr="009238F2">
        <w:fldChar w:fldCharType="begin"/>
      </w:r>
      <w:r w:rsidR="005604FC">
        <w:instrText xml:space="preserve"> ADDIN EN.CITE &lt;EndNote&gt;&lt;Cite&gt;&lt;Author&gt;Arshad&lt;/Author&gt;&lt;Year&gt;2014&lt;/Year&gt;&lt;RecNum&gt;38&lt;/RecNum&gt;&lt;DisplayText&gt;(Arshad and Maaroufi 2014)&lt;/DisplayText&gt;&lt;record&gt;&lt;rec-number&gt;38&lt;/rec-number&gt;&lt;foreign-keys&gt;&lt;key app="EN" db-id="sdvpdv0smwr5wzetve1paxxrd52essr05fre"&gt;38&lt;/key&gt;&lt;/foreign-keys&gt;&lt;ref-type name="Journal Article"&gt;17&lt;/ref-type&gt;&lt;contributors&gt;&lt;authors&gt;&lt;author&gt;Arshad, Muhammad Azeem&lt;/author&gt;&lt;author&gt;Maaroufi, Abdel-Karim&lt;/author&gt;&lt;/authors&gt;&lt;/contributors&gt;&lt;titles&gt;&lt;title&gt;An innovative reaction model determination methodology in solid state kinetics based on variable activation energy&lt;/title&gt;&lt;secondary-title&gt;Thermochimica Acta&lt;/secondary-title&gt;&lt;/titles&gt;&lt;pages&gt;25-35&lt;/pages&gt;&lt;volume&gt;585&lt;/volume&gt;&lt;dates&gt;&lt;year&gt;2014&lt;/year&gt;&lt;/dates&gt;&lt;isbn&gt;0040-6031&lt;/isbn&gt;&lt;urls&gt;&lt;/urls&gt;&lt;electronic-resource-num&gt;https://doi.org/10.1016/j.tca.2014.03.025&lt;/electronic-resource-num&gt;&lt;/record&gt;&lt;/Cite&gt;&lt;/EndNote&gt;</w:instrText>
      </w:r>
      <w:r w:rsidRPr="009238F2">
        <w:fldChar w:fldCharType="separate"/>
      </w:r>
      <w:r w:rsidR="005604FC">
        <w:rPr>
          <w:noProof/>
        </w:rPr>
        <w:t>(</w:t>
      </w:r>
      <w:hyperlink w:anchor="_ENREF_2" w:tooltip="Arshad, 2014 #38" w:history="1">
        <w:r w:rsidR="00E941E0">
          <w:rPr>
            <w:noProof/>
          </w:rPr>
          <w:t>Arshad and Maaroufi 2014</w:t>
        </w:r>
      </w:hyperlink>
      <w:r w:rsidR="005604FC">
        <w:rPr>
          <w:noProof/>
        </w:rPr>
        <w:t>)</w:t>
      </w:r>
      <w:r w:rsidRPr="009238F2">
        <w:fldChar w:fldCharType="end"/>
      </w:r>
      <w:r w:rsidRPr="009238F2">
        <w:t xml:space="preserve">. In this study,  the kinetic parameters were computed using isoconversional methods, namely, </w:t>
      </w:r>
      <w:proofErr w:type="spellStart"/>
      <w:r w:rsidRPr="009238F2">
        <w:t>Trache-Abdelaziz-Siwani</w:t>
      </w:r>
      <w:proofErr w:type="spellEnd"/>
      <w:r w:rsidRPr="009238F2">
        <w:t xml:space="preserve"> (TAS) </w:t>
      </w:r>
      <w:r w:rsidRPr="009238F2">
        <w:fldChar w:fldCharType="begin"/>
      </w:r>
      <w:r w:rsidR="00A15F64">
        <w:instrText xml:space="preserve"> ADDIN EN.CITE &lt;EndNote&gt;&lt;Cite&gt;&lt;Author&gt;Trache&lt;/Author&gt;&lt;Year&gt;2017&lt;/Year&gt;&lt;RecNum&gt;34&lt;/RecNum&gt;&lt;DisplayText&gt;(Trache, Abdelaziz, et al. 2017)&lt;/DisplayText&gt;&lt;record&gt;&lt;rec-number&gt;34&lt;/rec-number&gt;&lt;foreign-keys&gt;&lt;key app="EN" db-id="sdvpdv0smwr5wzetve1paxxrd52essr05fre"&gt;34&lt;/key&gt;&lt;/foreign-keys&gt;&lt;ref-type name="Journal Article"&gt;17&lt;/ref-type&gt;&lt;contributors&gt;&lt;authors&gt;&lt;author&gt;Trache, Djalal&lt;/author&gt;&lt;author&gt;Abdelaziz, Amir&lt;/author&gt;&lt;author&gt;Siouani, Bachir&lt;/author&gt;&lt;/authors&gt;&lt;/contributors&gt;&lt;titles&gt;&lt;title&gt;A simple and linear isoconversional method to determine the pre-exponential factors and the mathematical reaction mechanism functions&lt;/title&gt;&lt;secondary-title&gt;Journal of Thermal Analysis and Calorimetry&lt;/secondary-title&gt;&lt;/titles&gt;&lt;pages&gt;335-348&lt;/pages&gt;&lt;volume&gt;128&lt;/volume&gt;&lt;number&gt;1&lt;/number&gt;&lt;dates&gt;&lt;year&gt;2017&lt;/year&gt;&lt;/dates&gt;&lt;isbn&gt;1588-2926&lt;/isbn&gt;&lt;urls&gt;&lt;/urls&gt;&lt;electronic-resource-num&gt;https://doi.org/10.1007/s10973-016-5962-0&lt;/electronic-resource-num&gt;&lt;/record&gt;&lt;/Cite&gt;&lt;/EndNote&gt;</w:instrText>
      </w:r>
      <w:r w:rsidRPr="009238F2">
        <w:fldChar w:fldCharType="separate"/>
      </w:r>
      <w:r w:rsidR="00A15F64">
        <w:rPr>
          <w:noProof/>
        </w:rPr>
        <w:t>(</w:t>
      </w:r>
      <w:hyperlink w:anchor="_ENREF_28" w:tooltip="Trache, 2017 #34" w:history="1">
        <w:r w:rsidR="00E941E0">
          <w:rPr>
            <w:noProof/>
          </w:rPr>
          <w:t>Trache, Abdelaziz, et al. 2017</w:t>
        </w:r>
      </w:hyperlink>
      <w:r w:rsidR="00A15F64">
        <w:rPr>
          <w:noProof/>
        </w:rPr>
        <w:t>)</w:t>
      </w:r>
      <w:r w:rsidRPr="009238F2">
        <w:fldChar w:fldCharType="end"/>
      </w:r>
      <w:r w:rsidRPr="009238F2">
        <w:t>, iterative Kissinger-</w:t>
      </w:r>
      <w:proofErr w:type="spellStart"/>
      <w:r w:rsidRPr="009238F2">
        <w:t>Akahira</w:t>
      </w:r>
      <w:proofErr w:type="spellEnd"/>
      <w:r w:rsidRPr="009238F2">
        <w:t>-</w:t>
      </w:r>
      <w:proofErr w:type="spellStart"/>
      <w:r w:rsidRPr="009238F2">
        <w:t>Sunose</w:t>
      </w:r>
      <w:proofErr w:type="spellEnd"/>
      <w:r w:rsidRPr="009238F2">
        <w:t xml:space="preserve"> (it-KAS)</w:t>
      </w:r>
      <w:r w:rsidRPr="009238F2">
        <w:fldChar w:fldCharType="begin"/>
      </w:r>
      <w:r w:rsidR="00A15F64">
        <w:instrText xml:space="preserve"> ADDIN EN.CITE &lt;EndNote&gt;&lt;Cite&gt;&lt;Author&gt;Kissinger&lt;/Author&gt;&lt;Year&gt;1957&lt;/Year&gt;&lt;RecNum&gt;41&lt;/RecNum&gt;&lt;DisplayText&gt;(Kissinger 1957)&lt;/DisplayText&gt;&lt;record&gt;&lt;rec-number&gt;41&lt;/rec-number&gt;&lt;foreign-keys&gt;&lt;key app="EN" db-id="sdvpdv0smwr5wzetve1paxxrd52essr05fre"&gt;41&lt;/key&gt;&lt;/foreign-keys&gt;&lt;ref-type name="Journal Article"&gt;17&lt;/ref-type&gt;&lt;contributors&gt;&lt;authors&gt;&lt;author&gt;Kissinger, Homer E&lt;/author&gt;&lt;/authors&gt;&lt;/contributors&gt;&lt;titles&gt;&lt;title&gt;Reaction kinetics in differential thermal analysis&lt;/title&gt;&lt;secondary-title&gt;Analytical chemistry&lt;/secondary-title&gt;&lt;/titles&gt;&lt;pages&gt;1702-1706&lt;/pages&gt;&lt;volume&gt;29&lt;/volume&gt;&lt;number&gt;11&lt;/number&gt;&lt;dates&gt;&lt;year&gt;1957&lt;/year&gt;&lt;/dates&gt;&lt;isbn&gt;0003-2700&lt;/isbn&gt;&lt;urls&gt;&lt;/urls&gt;&lt;electronic-resource-num&gt;https://doi.org/10.1021/ac60131a045&lt;/electronic-resource-num&gt;&lt;/record&gt;&lt;/Cite&gt;&lt;/EndNote&gt;</w:instrText>
      </w:r>
      <w:r w:rsidRPr="009238F2">
        <w:fldChar w:fldCharType="separate"/>
      </w:r>
      <w:r w:rsidR="00A15F64">
        <w:rPr>
          <w:noProof/>
        </w:rPr>
        <w:t>(</w:t>
      </w:r>
      <w:hyperlink w:anchor="_ENREF_13" w:tooltip="Kissinger, 1957 #41" w:history="1">
        <w:r w:rsidR="00E941E0">
          <w:rPr>
            <w:noProof/>
          </w:rPr>
          <w:t>Kissinger 1957</w:t>
        </w:r>
      </w:hyperlink>
      <w:r w:rsidR="00A15F64">
        <w:rPr>
          <w:noProof/>
        </w:rPr>
        <w:t>)</w:t>
      </w:r>
      <w:r w:rsidRPr="009238F2">
        <w:fldChar w:fldCharType="end"/>
      </w:r>
      <w:r w:rsidRPr="009238F2">
        <w:t xml:space="preserve">, and </w:t>
      </w:r>
      <w:proofErr w:type="spellStart"/>
      <w:r w:rsidRPr="009238F2">
        <w:t>Vyazovkin's</w:t>
      </w:r>
      <w:proofErr w:type="spellEnd"/>
      <w:r w:rsidRPr="009238F2">
        <w:t xml:space="preserve"> method (VYA) coupled with the compensation effect approach (CE) </w:t>
      </w:r>
      <w:r w:rsidRPr="009238F2">
        <w:fldChar w:fldCharType="begin"/>
      </w:r>
      <w:r w:rsidR="00A15F64">
        <w:instrText xml:space="preserve"> ADDIN EN.CITE &lt;EndNote&gt;&lt;Cite&gt;&lt;Author&gt;Sbirrazzuoli&lt;/Author&gt;&lt;Year&gt;2020&lt;/Year&gt;&lt;RecNum&gt;42&lt;/RecNum&gt;&lt;DisplayText&gt;(Sbirrazzuoli 2020)&lt;/DisplayText&gt;&lt;record&gt;&lt;rec-number&gt;42&lt;/rec-number&gt;&lt;foreign-keys&gt;&lt;key app="EN" db-id="sdvpdv0smwr5wzetve1paxxrd52essr05fre"&gt;42&lt;/key&gt;&lt;/foreign-keys&gt;&lt;ref-type name="Journal Article"&gt;17&lt;/ref-type&gt;&lt;contributors&gt;&lt;authors&gt;&lt;author&gt;Sbirrazzuoli, Nicolas&lt;/author&gt;&lt;/authors&gt;&lt;/contributors&gt;&lt;titles&gt;&lt;title&gt;Determination of pre-exponential factor and reaction mechanism in a model-free way&lt;/title&gt;&lt;secondary-title&gt;Thermochimica Acta&lt;/secondary-title&gt;&lt;/titles&gt;&lt;pages&gt;178707&lt;/pages&gt;&lt;volume&gt;691&lt;/volume&gt;&lt;dates&gt;&lt;year&gt;2020&lt;/year&gt;&lt;/dates&gt;&lt;isbn&gt;0040-6031&lt;/isbn&gt;&lt;urls&gt;&lt;/urls&gt;&lt;electronic-resource-num&gt;https://doi.org/10.1016/j.tca.2020.178707&lt;/electronic-resource-num&gt;&lt;/record&gt;&lt;/Cite&gt;&lt;/EndNote&gt;</w:instrText>
      </w:r>
      <w:r w:rsidRPr="009238F2">
        <w:fldChar w:fldCharType="separate"/>
      </w:r>
      <w:r w:rsidR="00A15F64">
        <w:rPr>
          <w:noProof/>
        </w:rPr>
        <w:t>(</w:t>
      </w:r>
      <w:hyperlink w:anchor="_ENREF_25" w:tooltip="Sbirrazzuoli, 2020 #42" w:history="1">
        <w:r w:rsidR="00E941E0">
          <w:rPr>
            <w:noProof/>
          </w:rPr>
          <w:t>Sbirrazzuoli 2020</w:t>
        </w:r>
      </w:hyperlink>
      <w:r w:rsidR="00A15F64">
        <w:rPr>
          <w:noProof/>
        </w:rPr>
        <w:t>)</w:t>
      </w:r>
      <w:r w:rsidRPr="009238F2">
        <w:fldChar w:fldCharType="end"/>
      </w:r>
      <w:r w:rsidRPr="009238F2">
        <w:t xml:space="preserve">. </w:t>
      </w:r>
    </w:p>
    <w:p w14:paraId="4FE7B17E" w14:textId="20E00D4F" w:rsidR="00683326" w:rsidRPr="00683326" w:rsidRDefault="00683326" w:rsidP="00443A16">
      <w:pPr>
        <w:pStyle w:val="CETHeading1"/>
      </w:pPr>
      <w:r w:rsidRPr="00683326">
        <w:t>Results and discussion</w:t>
      </w:r>
    </w:p>
    <w:p w14:paraId="069113A1" w14:textId="22E3E260" w:rsidR="00683326" w:rsidRPr="00683326" w:rsidRDefault="00683326" w:rsidP="00443A16">
      <w:pPr>
        <w:pStyle w:val="CETheadingx"/>
      </w:pPr>
      <w:r w:rsidRPr="00683326">
        <w:t>Structural</w:t>
      </w:r>
      <w:r w:rsidR="0084411D">
        <w:t xml:space="preserve"> and m</w:t>
      </w:r>
      <w:r w:rsidR="0084411D" w:rsidRPr="0084411D">
        <w:t>orphological</w:t>
      </w:r>
      <w:r w:rsidRPr="00683326">
        <w:t xml:space="preserve"> results</w:t>
      </w:r>
    </w:p>
    <w:p w14:paraId="5C70A42E" w14:textId="59E4095F" w:rsidR="00106C53" w:rsidRDefault="00106C53" w:rsidP="00E941E0">
      <w:pPr>
        <w:pStyle w:val="CETBodytext"/>
      </w:pPr>
      <w:r>
        <w:t xml:space="preserve">The synthesized AC-CoO samples, containing </w:t>
      </w:r>
      <w:r w:rsidR="006D71EB">
        <w:t>cobalt oxide</w:t>
      </w:r>
      <w:r>
        <w:t xml:space="preserve"> </w:t>
      </w:r>
      <w:r w:rsidR="006D71EB">
        <w:t>supported</w:t>
      </w:r>
      <w:r>
        <w:t xml:space="preserve"> onto activated carbon, were characterized using FTIR, XRD, and nitrogen adsorption isotherm analyses. The results are presented in Figures 2(a), (b), and (c), respectively. FTIR spectra confirmed the presence of key characteristic bands of both AC and CoO. Peaks at 1700 cm</w:t>
      </w:r>
      <w:r>
        <w:rPr>
          <w:rFonts w:ascii="Cambria Math" w:hAnsi="Cambria Math" w:cs="Cambria Math"/>
        </w:rPr>
        <w:t>⁻</w:t>
      </w:r>
      <w:r>
        <w:rPr>
          <w:rFonts w:cs="Arial"/>
        </w:rPr>
        <w:t>¹</w:t>
      </w:r>
      <w:r>
        <w:t xml:space="preserve"> and 1610 cm</w:t>
      </w:r>
      <w:r>
        <w:rPr>
          <w:rFonts w:ascii="Cambria Math" w:hAnsi="Cambria Math" w:cs="Cambria Math"/>
        </w:rPr>
        <w:t>⁻</w:t>
      </w:r>
      <w:r>
        <w:rPr>
          <w:rFonts w:cs="Arial"/>
        </w:rPr>
        <w:t>¹</w:t>
      </w:r>
      <w:r>
        <w:t xml:space="preserve"> correspond to the stretching vibrations of carbonyl (C=O) groups and C=C bonds, respectively. The peak at approximately 1400 cm</w:t>
      </w:r>
      <w:r>
        <w:rPr>
          <w:rFonts w:ascii="Cambria Math" w:hAnsi="Cambria Math" w:cs="Cambria Math"/>
        </w:rPr>
        <w:t>⁻</w:t>
      </w:r>
      <w:r>
        <w:rPr>
          <w:rFonts w:cs="Arial"/>
        </w:rPr>
        <w:t>¹</w:t>
      </w:r>
      <w:r>
        <w:t xml:space="preserve"> is attributed to the C-O-H vibration of carboxylic groups, while the broad band in the range of 3100–3650 cm</w:t>
      </w:r>
      <w:r>
        <w:rPr>
          <w:rFonts w:ascii="Cambria Math" w:hAnsi="Cambria Math" w:cs="Cambria Math"/>
        </w:rPr>
        <w:t>⁻</w:t>
      </w:r>
      <w:r>
        <w:rPr>
          <w:rFonts w:cs="Arial"/>
        </w:rPr>
        <w:t>¹</w:t>
      </w:r>
      <w:r>
        <w:t xml:space="preserve"> is associated with O-H stretching from hydroxyl and carboxylic groups as well as adsorbed water </w:t>
      </w:r>
      <w:r w:rsidR="00E07FEE" w:rsidRPr="00E07FEE">
        <w:fldChar w:fldCharType="begin"/>
      </w:r>
      <w:r w:rsidR="00E941E0">
        <w:instrText xml:space="preserve"> ADDIN EN.CITE &lt;EndNote&gt;&lt;Cite&gt;&lt;Author&gt;Tzvetkov&lt;/Author&gt;&lt;Year&gt;2016&lt;/Year&gt;&lt;RecNum&gt;54&lt;/RecNum&gt;&lt;DisplayText&gt;(Tazibet, Boucheffa, et al. 2016, Tzvetkov, Mihaylova, et al. 2016)&lt;/DisplayText&gt;&lt;record&gt;&lt;rec-number&gt;54&lt;/rec-number&gt;&lt;foreign-keys&gt;&lt;key app="EN" db-id="sdvpdv0smwr5wzetve1paxxrd52essr05fre"&gt;54&lt;/key&gt;&lt;/foreign-keys&gt;&lt;ref-type name="Journal Article"&gt;17&lt;/ref-type&gt;&lt;contributors&gt;&lt;authors&gt;&lt;author&gt;Tzvetkov, George&lt;/author&gt;&lt;author&gt;Mihaylova, Simona&lt;/author&gt;&lt;author&gt;Stoitchkova, Katerina&lt;/author&gt;&lt;author&gt;Tzvetkov, Peter&lt;/author&gt;&lt;author&gt;Spassov, Tony&lt;/author&gt;&lt;/authors&gt;&lt;/contributors&gt;&lt;titles&gt;&lt;title&gt;Mechanochemical and chemical activation of lignocellulosic material to prepare powdered activated carbons for adsorption applications&lt;/title&gt;&lt;secondary-title&gt;Powder Technology&lt;/secondary-title&gt;&lt;/titles&gt;&lt;pages&gt;41-50&lt;/pages&gt;&lt;volume&gt;299&lt;/volume&gt;&lt;dates&gt;&lt;year&gt;2016&lt;/year&gt;&lt;/dates&gt;&lt;isbn&gt;0032-5910&lt;/isbn&gt;&lt;urls&gt;&lt;/urls&gt;&lt;/record&gt;&lt;/Cite&gt;&lt;Cite&gt;&lt;Author&gt;Tazibet&lt;/Author&gt;&lt;Year&gt;2016&lt;/Year&gt;&lt;RecNum&gt;50&lt;/RecNum&gt;&lt;record&gt;&lt;rec-number&gt;50&lt;/rec-number&gt;&lt;foreign-keys&gt;&lt;key app="EN" db-id="5st9p5ar22r0soef9aavvd5mzxsds9z2f0zx"&gt;50&lt;/key&gt;&lt;/foreign-keys&gt;&lt;ref-type name="Journal Article"&gt;17&lt;/ref-type&gt;&lt;contributors&gt;&lt;authors&gt;&lt;author&gt;Tazibet, S&lt;/author&gt;&lt;author&gt;Boucheffa, Y&lt;/author&gt;&lt;author&gt;Lodewyckx, P&lt;/author&gt;&lt;author&gt;Velasco, LF&lt;/author&gt;&lt;author&gt;Boutillara, Y&lt;/author&gt;&lt;/authors&gt;&lt;/contributors&gt;&lt;titles&gt;&lt;title&gt;Evidence for the effect of the cooling down step on activated carbon adsorption properties&lt;/title&gt;&lt;secondary-title&gt;Microporous and Mesoporous Materials&lt;/secondary-title&gt;&lt;/titles&gt;&lt;pages&gt;67-75&lt;/pages&gt;&lt;volume&gt;221&lt;/volume&gt;&lt;dates&gt;&lt;year&gt;2016&lt;/year&gt;&lt;/dates&gt;&lt;isbn&gt;1387-1811&lt;/isbn&gt;&lt;urls&gt;&lt;/urls&gt;&lt;/record&gt;&lt;/Cite&gt;&lt;/EndNote&gt;</w:instrText>
      </w:r>
      <w:r w:rsidR="00E07FEE" w:rsidRPr="00E07FEE">
        <w:fldChar w:fldCharType="separate"/>
      </w:r>
      <w:r w:rsidR="00E941E0">
        <w:rPr>
          <w:noProof/>
        </w:rPr>
        <w:t>(</w:t>
      </w:r>
      <w:hyperlink w:anchor="_ENREF_27" w:tooltip="Tazibet, 2016 #50" w:history="1">
        <w:r w:rsidR="00E941E0">
          <w:rPr>
            <w:noProof/>
          </w:rPr>
          <w:t>Tazibet, Boucheffa, et al. 2016</w:t>
        </w:r>
      </w:hyperlink>
      <w:r w:rsidR="00E941E0">
        <w:rPr>
          <w:noProof/>
        </w:rPr>
        <w:t xml:space="preserve">, </w:t>
      </w:r>
      <w:hyperlink w:anchor="_ENREF_29" w:tooltip="Tzvetkov, 2016 #54" w:history="1">
        <w:r w:rsidR="00E941E0">
          <w:rPr>
            <w:noProof/>
          </w:rPr>
          <w:t>Tzvetkov, Mihaylova, et al. 2016</w:t>
        </w:r>
      </w:hyperlink>
      <w:r w:rsidR="00E941E0">
        <w:rPr>
          <w:noProof/>
        </w:rPr>
        <w:t>)</w:t>
      </w:r>
      <w:r w:rsidR="00E07FEE" w:rsidRPr="00E07FEE">
        <w:fldChar w:fldCharType="end"/>
      </w:r>
      <w:r w:rsidR="00E07FEE" w:rsidRPr="00E07FEE">
        <w:t>.</w:t>
      </w:r>
      <w:r w:rsidR="00E07FEE">
        <w:rPr>
          <w:rFonts w:asciiTheme="majorBidi" w:hAnsiTheme="majorBidi" w:cstheme="majorBidi"/>
          <w:color w:val="000000" w:themeColor="text1"/>
          <w:sz w:val="24"/>
          <w:szCs w:val="24"/>
        </w:rPr>
        <w:t xml:space="preserve"> </w:t>
      </w:r>
      <w:r>
        <w:t>Additionally, the FTIR spectra displayed characteristic metal oxide peaks within 500–1000 cm</w:t>
      </w:r>
      <w:r>
        <w:rPr>
          <w:rFonts w:ascii="Cambria Math" w:hAnsi="Cambria Math" w:cs="Cambria Math"/>
        </w:rPr>
        <w:t>⁻</w:t>
      </w:r>
      <w:r>
        <w:rPr>
          <w:rFonts w:cs="Arial"/>
        </w:rPr>
        <w:t>¹</w:t>
      </w:r>
      <w:r>
        <w:t>, attribut</w:t>
      </w:r>
      <w:r w:rsidR="00364748">
        <w:t xml:space="preserve">ed to metal-oxygen </w:t>
      </w:r>
      <w:r w:rsidR="00DF7791">
        <w:t>bonds</w:t>
      </w:r>
      <w:r>
        <w:t xml:space="preserve"> including Co-O stretching vibrations below 600 cm</w:t>
      </w:r>
      <w:r>
        <w:rPr>
          <w:rFonts w:ascii="Cambria Math" w:hAnsi="Cambria Math" w:cs="Cambria Math"/>
        </w:rPr>
        <w:t>⁻</w:t>
      </w:r>
      <w:r>
        <w:rPr>
          <w:rFonts w:cs="Arial"/>
        </w:rPr>
        <w:t>¹</w:t>
      </w:r>
      <w:r w:rsidR="00DF7791" w:rsidRPr="00DF7791">
        <w:t xml:space="preserve"> </w:t>
      </w:r>
      <w:r w:rsidR="00DF7791" w:rsidRPr="00DF7791">
        <w:fldChar w:fldCharType="begin"/>
      </w:r>
      <w:r w:rsidR="00DF7791">
        <w:instrText xml:space="preserve"> ADDIN EN.CITE &lt;EndNote&gt;&lt;Cite&gt;&lt;Author&gt;Razmara&lt;/Author&gt;&lt;Year&gt;2021&lt;/Year&gt;&lt;RecNum&gt;98&lt;/RecNum&gt;&lt;DisplayText&gt;(Razmara and Janczak 2021)&lt;/DisplayText&gt;&lt;record&gt;&lt;rec-number&gt;98&lt;/rec-number&gt;&lt;foreign-keys&gt;&lt;key app="EN" db-id="sdvpdv0smwr5wzetve1paxxrd52essr05fre"&gt;98&lt;/key&gt;&lt;/foreign-keys&gt;&lt;ref-type name="Journal Article"&gt;17&lt;/ref-type&gt;&lt;contributors&gt;&lt;authors&gt;&lt;author&gt;Razmara, Zohreh&lt;/author&gt;&lt;author&gt;Janczak, Jan&lt;/author&gt;&lt;/authors&gt;&lt;/contributors&gt;&lt;titles&gt;&lt;title&gt;Sonochemical synthesis and structural characterization of a new three mono-nuclear cobalt (II) complex, to produce tricobalt tetroxide as an effective heterojunction catalyst&lt;/title&gt;&lt;secondary-title&gt;Journal of Molecular Structure&lt;/secondary-title&gt;&lt;/titles&gt;&lt;pages&gt;129500&lt;/pages&gt;&lt;volume&gt;1229&lt;/volume&gt;&lt;dates&gt;&lt;year&gt;2021&lt;/year&gt;&lt;/dates&gt;&lt;isbn&gt;0022-2860&lt;/isbn&gt;&lt;urls&gt;&lt;/urls&gt;&lt;/record&gt;&lt;/Cite&gt;&lt;/EndNote&gt;</w:instrText>
      </w:r>
      <w:r w:rsidR="00DF7791" w:rsidRPr="00DF7791">
        <w:fldChar w:fldCharType="separate"/>
      </w:r>
      <w:r w:rsidR="00DF7791">
        <w:rPr>
          <w:noProof/>
        </w:rPr>
        <w:t>(</w:t>
      </w:r>
      <w:hyperlink w:anchor="_ENREF_23" w:tooltip="Razmara, 2021 #98" w:history="1">
        <w:r w:rsidR="00E941E0">
          <w:rPr>
            <w:noProof/>
          </w:rPr>
          <w:t>Razmara and Janczak 2021</w:t>
        </w:r>
      </w:hyperlink>
      <w:r w:rsidR="00DF7791">
        <w:rPr>
          <w:noProof/>
        </w:rPr>
        <w:t>)</w:t>
      </w:r>
      <w:r w:rsidR="00DF7791" w:rsidRPr="00DF7791">
        <w:fldChar w:fldCharType="end"/>
      </w:r>
      <w:r w:rsidR="00DF7791">
        <w:t>.</w:t>
      </w:r>
    </w:p>
    <w:p w14:paraId="7B3183EE" w14:textId="2153418D" w:rsidR="00106C53" w:rsidRDefault="00106C53" w:rsidP="00E941E0">
      <w:pPr>
        <w:pStyle w:val="CETBodytext"/>
      </w:pPr>
      <w:r>
        <w:t xml:space="preserve">The XRD patterns, shown in Figure 2b, revealed that the AC-CoO samples retained the characteristic features of activated carbon, such as two broad peaks near 2θ = 25° and 44°, corresponding to the amorphous (002) </w:t>
      </w:r>
      <w:r w:rsidRPr="009E174C">
        <w:t>and graphitic (100) carbon diffractions</w:t>
      </w:r>
      <w:r w:rsidR="009E174C" w:rsidRPr="009E174C">
        <w:t xml:space="preserve"> </w:t>
      </w:r>
      <w:r w:rsidR="009E174C" w:rsidRPr="009E174C">
        <w:fldChar w:fldCharType="begin"/>
      </w:r>
      <w:r w:rsidR="009E174C">
        <w:instrText xml:space="preserve"> ADDIN EN.CITE &lt;EndNote&gt;&lt;Cite&gt;&lt;Author&gt;Mu&lt;/Author&gt;&lt;Year&gt;2011&lt;/Year&gt;&lt;RecNum&gt;109&lt;/RecNum&gt;&lt;DisplayText&gt;(Danish, Hashim, et al. 2013, Mu, Shao, et al. 2011)&lt;/DisplayText&gt;&lt;record&gt;&lt;rec-number&gt;109&lt;/rec-number&gt;&lt;foreign-keys&gt;&lt;key app="EN" db-id="sdvpdv0smwr5wzetve1paxxrd52essr05fre"&gt;109&lt;/key&gt;&lt;/foreign-keys&gt;&lt;ref-type name="Journal Article"&gt;17&lt;/ref-type&gt;&lt;contributors&gt;&lt;authors&gt;&lt;author&gt;Mu, Jingbo&lt;/author&gt;&lt;author&gt;Shao, Changlu&lt;/author&gt;&lt;author&gt;Guo, Zengcai&lt;/author&gt;&lt;author&gt;Zhang, Zhenyi&lt;/author&gt;&lt;author&gt;Zhang, Mingyi&lt;/author&gt;&lt;author&gt;Zhang, Peng&lt;/author&gt;&lt;author&gt;Chen, Bin&lt;/author&gt;&lt;author&gt;Liu, Yichun&lt;/author&gt;&lt;/authors&gt;&lt;/contributors&gt;&lt;titles&gt;&lt;title&gt;High photocatalytic activity of ZnO− carbon nanofiber heteroarchitectures&lt;/title&gt;&lt;secondary-title&gt;ACS applied materials &amp;amp; interfaces&lt;/secondary-title&gt;&lt;/titles&gt;&lt;pages&gt;590-596&lt;/pages&gt;&lt;volume&gt;3&lt;/volume&gt;&lt;number&gt;2&lt;/number&gt;&lt;dates&gt;&lt;year&gt;2011&lt;/year&gt;&lt;/dates&gt;&lt;isbn&gt;1944-8244&lt;/isbn&gt;&lt;urls&gt;&lt;/urls&gt;&lt;/record&gt;&lt;/Cite&gt;&lt;Cite&gt;&lt;Author&gt;Danish&lt;/Author&gt;&lt;Year&gt;2013&lt;/Year&gt;&lt;RecNum&gt;60&lt;/RecNum&gt;&lt;record&gt;&lt;rec-number&gt;60&lt;/rec-number&gt;&lt;foreign-keys&gt;&lt;key app="EN" db-id="5st9p5ar22r0soef9aavvd5mzxsds9z2f0zx"&gt;60&lt;/key&gt;&lt;/foreign-keys&gt;&lt;ref-type name="Journal Article"&gt;17&lt;/ref-type&gt;&lt;contributors&gt;&lt;authors&gt;&lt;author&gt;Danish, M&lt;/author&gt;&lt;author&gt;Hashim, R&lt;/author&gt;&lt;author&gt;Ibrahim, MN Mohamad&lt;/author&gt;&lt;author&gt;Sulaiman, O&lt;/author&gt;&lt;/authors&gt;&lt;/contributors&gt;&lt;titles&gt;&lt;title&gt;Effect of acidic activating agents on surface area and surface functional groups of activated carbons produced from Acacia mangium wood&lt;/title&gt;&lt;secondary-title&gt;Journal of Analytical and Applied Pyrolysis&lt;/secondary-title&gt;&lt;/titles&gt;&lt;pages&gt;418-425&lt;/pages&gt;&lt;volume&gt;104&lt;/volume&gt;&lt;dates&gt;&lt;year&gt;2013&lt;/year&gt;&lt;/dates&gt;&lt;isbn&gt;0165-2370&lt;/isbn&gt;&lt;urls&gt;&lt;/urls&gt;&lt;/record&gt;&lt;/Cite&gt;&lt;/EndNote&gt;</w:instrText>
      </w:r>
      <w:r w:rsidR="009E174C" w:rsidRPr="009E174C">
        <w:fldChar w:fldCharType="separate"/>
      </w:r>
      <w:r w:rsidR="009E174C">
        <w:rPr>
          <w:noProof/>
        </w:rPr>
        <w:t>(</w:t>
      </w:r>
      <w:hyperlink w:anchor="_ENREF_9" w:tooltip="Danish, 2013 #60" w:history="1">
        <w:r w:rsidR="00E941E0">
          <w:rPr>
            <w:noProof/>
          </w:rPr>
          <w:t>Danish, Hashim, et al. 2013</w:t>
        </w:r>
      </w:hyperlink>
      <w:r w:rsidR="009E174C">
        <w:rPr>
          <w:noProof/>
        </w:rPr>
        <w:t xml:space="preserve">, </w:t>
      </w:r>
      <w:hyperlink w:anchor="_ENREF_18" w:tooltip="Mu, 2011 #109" w:history="1">
        <w:r w:rsidR="00E941E0">
          <w:rPr>
            <w:noProof/>
          </w:rPr>
          <w:t>Mu, Shao, et al. 2011</w:t>
        </w:r>
      </w:hyperlink>
      <w:r w:rsidR="009E174C">
        <w:rPr>
          <w:noProof/>
        </w:rPr>
        <w:t>)</w:t>
      </w:r>
      <w:r w:rsidR="009E174C" w:rsidRPr="009E174C">
        <w:fldChar w:fldCharType="end"/>
      </w:r>
      <w:r w:rsidR="009E174C">
        <w:t>.</w:t>
      </w:r>
      <w:r>
        <w:t xml:space="preserve"> Moreover, distinct diffraction peaks of CoO were observed at 2θ = 18.9°, 31.2°, 36.9°, 44.8°, and 65.2°, which correspond to the (111), (220), (111), (200), and (220) crystal planes of CoO, res</w:t>
      </w:r>
      <w:r w:rsidR="009E174C">
        <w:t xml:space="preserve">pectively </w:t>
      </w:r>
      <w:r w:rsidR="009E174C" w:rsidRPr="009E174C">
        <w:fldChar w:fldCharType="begin"/>
      </w:r>
      <w:r w:rsidR="009E174C">
        <w:instrText xml:space="preserve"> ADDIN EN.CITE &lt;EndNote&gt;&lt;Cite&gt;&lt;Author&gt;Garces&lt;/Author&gt;&lt;Year&gt;2015&lt;/Year&gt;&lt;RecNum&gt;104&lt;/RecNum&gt;&lt;DisplayText&gt;(Garces, Hincapie, et al. 2015)&lt;/DisplayText&gt;&lt;record&gt;&lt;rec-number&gt;104&lt;/rec-number&gt;&lt;foreign-keys&gt;&lt;key app="EN" db-id="sdvpdv0smwr5wzetve1paxxrd52essr05fre"&gt;104&lt;/key&gt;&lt;/foreign-keys&gt;&lt;ref-type name="Journal Article"&gt;17&lt;/ref-type&gt;&lt;contributors&gt;&lt;authors&gt;&lt;author&gt;Garces, Luis Javier&lt;/author&gt;&lt;author&gt;Hincapie, Beatriz&lt;/author&gt;&lt;author&gt;Zerger, Richard&lt;/author&gt;&lt;author&gt;Suib, Steven L&lt;/author&gt;&lt;/authors&gt;&lt;/contributors&gt;&lt;titles&gt;&lt;title&gt;The effect of temperature and support on the reduction of cobalt oxide: an in situ X-ray diffraction study&lt;/title&gt;&lt;secondary-title&gt;The Journal of Physical Chemistry C&lt;/secondary-title&gt;&lt;/titles&gt;&lt;pages&gt;5484-5490&lt;/pages&gt;&lt;volume&gt;119&lt;/volume&gt;&lt;number&gt;10&lt;/number&gt;&lt;dates&gt;&lt;year&gt;2015&lt;/year&gt;&lt;/dates&gt;&lt;isbn&gt;1932-7447&lt;/isbn&gt;&lt;urls&gt;&lt;/urls&gt;&lt;/record&gt;&lt;/Cite&gt;&lt;/EndNote&gt;</w:instrText>
      </w:r>
      <w:r w:rsidR="009E174C" w:rsidRPr="009E174C">
        <w:fldChar w:fldCharType="separate"/>
      </w:r>
      <w:r w:rsidR="009E174C">
        <w:rPr>
          <w:noProof/>
        </w:rPr>
        <w:t>(</w:t>
      </w:r>
      <w:hyperlink w:anchor="_ENREF_10" w:tooltip="Garces, 2015 #104" w:history="1">
        <w:r w:rsidR="00E941E0">
          <w:rPr>
            <w:noProof/>
          </w:rPr>
          <w:t>Garces, Hincapie, et al. 2015</w:t>
        </w:r>
      </w:hyperlink>
      <w:r w:rsidR="009E174C">
        <w:rPr>
          <w:noProof/>
        </w:rPr>
        <w:t>)</w:t>
      </w:r>
      <w:r w:rsidR="009E174C" w:rsidRPr="009E174C">
        <w:fldChar w:fldCharType="end"/>
      </w:r>
      <w:r w:rsidR="009E174C">
        <w:t>.</w:t>
      </w:r>
    </w:p>
    <w:p w14:paraId="58B8BC9D" w14:textId="3DF3DFEF" w:rsidR="00BF0F59" w:rsidRDefault="00106C53" w:rsidP="00E941E0">
      <w:pPr>
        <w:pStyle w:val="CETBodytext"/>
      </w:pPr>
      <w:r>
        <w:t xml:space="preserve">Nitrogen adsorption isotherms, presented in Figure 2c, indicated that the isotherms for all samples conform to type </w:t>
      </w:r>
      <w:proofErr w:type="spellStart"/>
      <w:r>
        <w:t>Ib</w:t>
      </w:r>
      <w:proofErr w:type="spellEnd"/>
      <w:r>
        <w:t xml:space="preserve">, as classified by </w:t>
      </w:r>
      <w:proofErr w:type="spellStart"/>
      <w:r>
        <w:t>Rouquerol</w:t>
      </w:r>
      <w:proofErr w:type="spellEnd"/>
      <w:r>
        <w:t xml:space="preserve"> et al. </w:t>
      </w:r>
      <w:r w:rsidR="009E174C" w:rsidRPr="009E174C">
        <w:fldChar w:fldCharType="begin"/>
      </w:r>
      <w:r w:rsidR="009E174C">
        <w:instrText xml:space="preserve"> ADDIN EN.CITE &lt;EndNote&gt;&lt;Cite&gt;&lt;Author&gt;Rouquerol&lt;/Author&gt;&lt;Year&gt;2013&lt;/Year&gt;&lt;RecNum&gt;96&lt;/RecNum&gt;&lt;DisplayText&gt;(Rouquerol, Rouquerol, et al. 2013)&lt;/DisplayText&gt;&lt;record&gt;&lt;rec-number&gt;96&lt;/rec-number&gt;&lt;foreign-keys&gt;&lt;key app="EN" db-id="sdvpdv0smwr5wzetve1paxxrd52essr05fre"&gt;96&lt;/key&gt;&lt;/foreign-keys&gt;&lt;ref-type name="Book"&gt;6&lt;/ref-type&gt;&lt;contributors&gt;&lt;authors&gt;&lt;author&gt;Rouquerol, Jean&lt;/author&gt;&lt;author&gt;Rouquerol, Françoise&lt;/author&gt;&lt;author&gt;Llewellyn, Philip&lt;/author&gt;&lt;author&gt;Maurin, Guillaume&lt;/author&gt;&lt;author&gt;Sing, Kenneth&lt;/author&gt;&lt;/authors&gt;&lt;/contributors&gt;&lt;titles&gt;&lt;title&gt;Adsorption by powders and porous solids: principles, methodology and applications&lt;/title&gt;&lt;/titles&gt;&lt;dates&gt;&lt;year&gt;2013&lt;/year&gt;&lt;/dates&gt;&lt;publisher&gt;Academic press&lt;/publisher&gt;&lt;isbn&gt;0080970362&lt;/isbn&gt;&lt;urls&gt;&lt;/urls&gt;&lt;/record&gt;&lt;/Cite&gt;&lt;/EndNote&gt;</w:instrText>
      </w:r>
      <w:r w:rsidR="009E174C" w:rsidRPr="009E174C">
        <w:fldChar w:fldCharType="separate"/>
      </w:r>
      <w:r w:rsidR="009E174C">
        <w:rPr>
          <w:noProof/>
        </w:rPr>
        <w:t>(</w:t>
      </w:r>
      <w:hyperlink w:anchor="_ENREF_24" w:tooltip="Rouquerol, 2013 #96" w:history="1">
        <w:r w:rsidR="00E941E0">
          <w:rPr>
            <w:noProof/>
          </w:rPr>
          <w:t>Rouquerol, Rouquerol, et al. 2013</w:t>
        </w:r>
      </w:hyperlink>
      <w:r w:rsidR="009E174C">
        <w:rPr>
          <w:noProof/>
        </w:rPr>
        <w:t>)</w:t>
      </w:r>
      <w:r w:rsidR="009E174C" w:rsidRPr="009E174C">
        <w:fldChar w:fldCharType="end"/>
      </w:r>
      <w:r w:rsidR="009E174C">
        <w:t xml:space="preserve">. </w:t>
      </w:r>
      <w:r>
        <w:t>This is characteristic of microporous materials with a dive</w:t>
      </w:r>
      <w:r w:rsidR="004F602E">
        <w:t xml:space="preserve">rse range of </w:t>
      </w:r>
      <w:r w:rsidR="00963E71">
        <w:t>micropores</w:t>
      </w:r>
      <w:r w:rsidR="004F602E">
        <w:t xml:space="preserve"> sizes</w:t>
      </w:r>
      <w:r>
        <w:t>. The pore structure analysis showed a decrease in BET surface area from 1259.9 m²/g (AC) to 1145.9 m²/g (AC-CoO) after CoO grafting. Similarly, the total pore volume decreased from 0.6190 cm³/g to 0.5663 cm³/g, while the mean pore diameter increased slightly from 1.9651 nm to 1.9766 nm, suggesting partial pore filling or blockage due to the CoO deposition.</w:t>
      </w:r>
    </w:p>
    <w:p w14:paraId="5CE22607" w14:textId="53FD2796" w:rsidR="00DE05E8" w:rsidRDefault="00F766ED" w:rsidP="00103131">
      <w:pPr>
        <w:pStyle w:val="CETBodytext"/>
        <w:spacing w:before="240"/>
        <w:rPr>
          <w:lang w:val="pl-PL"/>
        </w:rPr>
      </w:pPr>
      <w:r>
        <w:rPr>
          <w:noProof/>
        </w:rPr>
        <w:drawing>
          <wp:inline distT="0" distB="0" distL="0" distR="0" wp14:anchorId="31E48361" wp14:editId="101E8371">
            <wp:extent cx="5618073" cy="1896544"/>
            <wp:effectExtent l="0" t="0" r="1905"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74" t="7878" r="5054" b="47581"/>
                    <a:stretch/>
                  </pic:blipFill>
                  <pic:spPr bwMode="auto">
                    <a:xfrm>
                      <a:off x="0" y="0"/>
                      <a:ext cx="5650905" cy="1907628"/>
                    </a:xfrm>
                    <a:prstGeom prst="rect">
                      <a:avLst/>
                    </a:prstGeom>
                    <a:ln>
                      <a:noFill/>
                    </a:ln>
                    <a:extLst>
                      <a:ext uri="{53640926-AAD7-44D8-BBD7-CCE9431645EC}">
                        <a14:shadowObscured xmlns:a14="http://schemas.microsoft.com/office/drawing/2010/main"/>
                      </a:ext>
                    </a:extLst>
                  </pic:spPr>
                </pic:pic>
              </a:graphicData>
            </a:graphic>
          </wp:inline>
        </w:drawing>
      </w:r>
    </w:p>
    <w:p w14:paraId="35000EA9" w14:textId="645220F1" w:rsidR="00BC25DB" w:rsidRPr="00F766ED" w:rsidRDefault="00DE05E8" w:rsidP="001C643D">
      <w:pPr>
        <w:pStyle w:val="CETCaption"/>
        <w:spacing w:before="0"/>
        <w:rPr>
          <w:color w:val="000000" w:themeColor="text1"/>
          <w:lang w:val="pl-PL"/>
        </w:rPr>
      </w:pPr>
      <w:r w:rsidRPr="00B50483">
        <w:rPr>
          <w:b/>
          <w:bCs/>
          <w:color w:val="000000" w:themeColor="text1"/>
          <w:highlight w:val="yellow"/>
          <w:lang w:val="pl-PL"/>
        </w:rPr>
        <w:t>Figure 2.</w:t>
      </w:r>
      <w:r w:rsidRPr="00B50483">
        <w:rPr>
          <w:color w:val="000000" w:themeColor="text1"/>
          <w:highlight w:val="yellow"/>
          <w:lang w:val="pl-PL"/>
        </w:rPr>
        <w:t xml:space="preserve"> a) FTIR spectra, b) XRD patterns,</w:t>
      </w:r>
      <w:r w:rsidR="001C643D" w:rsidRPr="00B50483">
        <w:rPr>
          <w:color w:val="000000" w:themeColor="text1"/>
          <w:highlight w:val="yellow"/>
          <w:lang w:val="pl-PL"/>
        </w:rPr>
        <w:t xml:space="preserve"> and </w:t>
      </w:r>
      <w:r w:rsidRPr="00B50483">
        <w:rPr>
          <w:color w:val="000000" w:themeColor="text1"/>
          <w:highlight w:val="yellow"/>
          <w:lang w:val="pl-PL"/>
        </w:rPr>
        <w:t xml:space="preserve"> </w:t>
      </w:r>
      <w:r w:rsidR="001C643D" w:rsidRPr="00B50483">
        <w:rPr>
          <w:color w:val="000000" w:themeColor="text1"/>
          <w:highlight w:val="yellow"/>
          <w:lang w:val="pl-PL"/>
        </w:rPr>
        <w:t>c) Nitrogen adsorption isotherm.</w:t>
      </w:r>
    </w:p>
    <w:p w14:paraId="3E43DA76" w14:textId="6EFC131A" w:rsidR="00B56626" w:rsidRDefault="00B56626" w:rsidP="00443A16">
      <w:pPr>
        <w:pStyle w:val="CETheadingx"/>
      </w:pPr>
      <w:r w:rsidRPr="00B56626">
        <w:lastRenderedPageBreak/>
        <w:t>Determination of the thermo-kinetic parameters</w:t>
      </w:r>
    </w:p>
    <w:p w14:paraId="26B10731" w14:textId="491D2DF1" w:rsidR="00577F2B" w:rsidRPr="00577F2B" w:rsidRDefault="00577F2B" w:rsidP="00577F2B">
      <w:pPr>
        <w:pStyle w:val="CETBodytext"/>
        <w:rPr>
          <w:color w:val="000000" w:themeColor="text1"/>
        </w:rPr>
      </w:pPr>
      <w:r w:rsidRPr="00577F2B">
        <w:rPr>
          <w:color w:val="000000" w:themeColor="text1"/>
        </w:rPr>
        <w:t>To better understand the influence of the studied additives (CoO and AC-CoO) on the thermal behavior of nitrocellulose, a thermo</w:t>
      </w:r>
      <w:r w:rsidR="00681F09" w:rsidRPr="00681F09">
        <w:rPr>
          <w:color w:val="000000" w:themeColor="text1"/>
          <w:highlight w:val="yellow"/>
        </w:rPr>
        <w:t>-</w:t>
      </w:r>
      <w:r w:rsidRPr="00577F2B">
        <w:rPr>
          <w:color w:val="000000" w:themeColor="text1"/>
        </w:rPr>
        <w:t>kinetic analysis was carried out on the formulated energetic composites. This analysis employed isoconversional methods, including TAS, it-KAS, and VYA/CE, using non-isothermal DSC data recorded at heating rates of 10 °C/min to 25 °C/min, incremented by 5 °C/min.</w:t>
      </w:r>
    </w:p>
    <w:p w14:paraId="026E4F2C" w14:textId="65BD2EB2" w:rsidR="009F4E5F" w:rsidRPr="00950E45" w:rsidRDefault="00577F2B" w:rsidP="00E941E0">
      <w:pPr>
        <w:pStyle w:val="CETBodytext"/>
      </w:pPr>
      <w:r w:rsidRPr="00577F2B">
        <w:t>As depicted in Figure 3a, the DSC thermograms consistently display a single exothermic peak at all heating rates, corresponding to the thermolysis of the energetic and thermally unstable O-NO</w:t>
      </w:r>
      <w:r w:rsidRPr="00577F2B">
        <w:rPr>
          <w:rFonts w:ascii="Cambria Math" w:hAnsi="Cambria Math" w:cs="Cambria Math"/>
        </w:rPr>
        <w:t>₂</w:t>
      </w:r>
      <w:r w:rsidR="00CB1F82">
        <w:t xml:space="preserve"> groups</w:t>
      </w:r>
      <w:r w:rsidR="00CB1F82" w:rsidRPr="00CB1F82">
        <w:rPr>
          <w:rFonts w:asciiTheme="majorBidi" w:hAnsiTheme="majorBidi" w:cstheme="majorBidi"/>
          <w:color w:val="000000" w:themeColor="text1"/>
          <w:sz w:val="24"/>
          <w:szCs w:val="24"/>
        </w:rPr>
        <w:t xml:space="preserve"> </w:t>
      </w:r>
      <w:r w:rsidR="00CB1F82" w:rsidRPr="00CB1F82">
        <w:fldChar w:fldCharType="begin"/>
      </w:r>
      <w:r w:rsidR="00E941E0">
        <w:instrText xml:space="preserve"> ADDIN EN.CITE &lt;EndNote&gt;&lt;Cite&gt;&lt;Author&gt;Mirzajani&lt;/Author&gt;&lt;Year&gt;2018&lt;/Year&gt;&lt;RecNum&gt;68&lt;/RecNum&gt;&lt;DisplayText&gt;(Mirzajani, Farhadi, et al. 2018)&lt;/DisplayText&gt;&lt;record&gt;&lt;rec-number&gt;68&lt;/rec-number&gt;&lt;foreign-keys&gt;&lt;key app="EN" db-id="sdvpdv0smwr5wzetve1paxxrd52essr05fre"&gt;68&lt;/key&gt;&lt;/foreign-keys&gt;&lt;ref-type name="Journal Article"&gt;17&lt;/ref-type&gt;&lt;contributors&gt;&lt;authors&gt;&lt;author&gt;Mirzajani, Vahid&lt;/author&gt;&lt;author&gt;Farhadi, Khalil&lt;/author&gt;&lt;author&gt;Pourmortazavi, Seied Mahdi&lt;/author&gt;&lt;/authors&gt;&lt;/contributors&gt;&lt;titles&gt;&lt;title&gt;Catalytic effect of lead oxide nano-and microparticles on thermal decomposition kinetics of energetic compositions containing TEGDN/NC/DAG&lt;/title&gt;&lt;secondary-title&gt;Journal of Thermal Analysis and Calorimetry&lt;/secondary-title&gt;&lt;/titles&gt;&lt;pages&gt;937-948&lt;/pages&gt;&lt;volume&gt;131&lt;/volume&gt;&lt;dates&gt;&lt;year&gt;2018&lt;/year&gt;&lt;/dates&gt;&lt;isbn&gt;1388-6150&lt;/isbn&gt;&lt;urls&gt;&lt;/urls&gt;&lt;electronic-resource-num&gt;https://doi.org/10.1007/s10973-017-6666-9&lt;/electronic-resource-num&gt;&lt;/record&gt;&lt;/Cite&gt;&lt;/EndNote&gt;</w:instrText>
      </w:r>
      <w:r w:rsidR="00CB1F82" w:rsidRPr="00CB1F82">
        <w:fldChar w:fldCharType="separate"/>
      </w:r>
      <w:r w:rsidR="00E941E0">
        <w:rPr>
          <w:noProof/>
        </w:rPr>
        <w:t>(</w:t>
      </w:r>
      <w:hyperlink w:anchor="_ENREF_17" w:tooltip="Mirzajani, 2018 #68" w:history="1">
        <w:r w:rsidR="00E941E0">
          <w:rPr>
            <w:noProof/>
          </w:rPr>
          <w:t>Mirzajani, Farhadi, et al. 2018</w:t>
        </w:r>
      </w:hyperlink>
      <w:r w:rsidR="00E941E0">
        <w:rPr>
          <w:noProof/>
        </w:rPr>
        <w:t>)</w:t>
      </w:r>
      <w:r w:rsidR="00CB1F82" w:rsidRPr="00CB1F82">
        <w:fldChar w:fldCharType="end"/>
      </w:r>
      <w:r w:rsidR="00CB1F82" w:rsidRPr="00CB1F82">
        <w:t>.</w:t>
      </w:r>
      <w:r w:rsidRPr="00CB1F82">
        <w:t xml:space="preserve"> The thermograms also reveal that the exothermic decomposition is strongly dependent on the heating rate.</w:t>
      </w:r>
      <w:r w:rsidRPr="00577F2B">
        <w:t xml:space="preserve"> Specifically, as the heating rate increases, the decomposition peak shifts to higher temperatures. This phenomenon arises due to the more rapid input of thermal energy at higher </w:t>
      </w:r>
      <w:r w:rsidRPr="009E7EC5">
        <w:t>rates, which shortens the time available for decomposition at lower temperatures</w:t>
      </w:r>
      <w:r w:rsidR="0061158D" w:rsidRPr="009E7EC5">
        <w:t xml:space="preserve"> </w:t>
      </w:r>
      <w:r w:rsidR="0061158D" w:rsidRPr="009E7EC5">
        <w:fldChar w:fldCharType="begin"/>
      </w:r>
      <w:r w:rsidR="006265A5">
        <w:instrText xml:space="preserve"> ADDIN EN.CITE &lt;EndNote&gt;&lt;Cite&gt;&lt;Author&gt;Zhu&lt;/Author&gt;&lt;Year&gt;2014&lt;/Year&gt;&lt;RecNum&gt;70&lt;/RecNum&gt;&lt;DisplayText&gt;(Zhu, Dong, et al. 2014)&lt;/DisplayText&gt;&lt;record&gt;&lt;rec-number&gt;70&lt;/rec-number&gt;&lt;foreign-keys&gt;&lt;key app="EN" db-id="sdvpdv0smwr5wzetve1paxxrd52essr05fre"&gt;70&lt;/key&gt;&lt;/foreign-keys&gt;&lt;ref-type name="Journal Article"&gt;17&lt;/ref-type&gt;&lt;contributors&gt;&lt;authors&gt;&lt;author&gt;Zhu, Heguo&lt;/author&gt;&lt;author&gt;Dong, Kang&lt;/author&gt;&lt;author&gt;Huang, Jiewen&lt;/author&gt;&lt;author&gt;Li, Jianliang&lt;/author&gt;&lt;author&gt;Wang, Gui&lt;/author&gt;&lt;author&gt;Xie, Zonghan&lt;/author&gt;&lt;/authors&gt;&lt;/contributors&gt;&lt;titles&gt;&lt;title&gt;Reaction mechanism and mechanical properties of an aluminum-based composite fabricated in-situ from Al–SiO2 system&lt;/title&gt;&lt;secondary-title&gt;Materials Chemistry and Physics&lt;/secondary-title&gt;&lt;/titles&gt;&lt;pages&gt;334-341&lt;/pages&gt;&lt;volume&gt;145&lt;/volume&gt;&lt;number&gt;3&lt;/number&gt;&lt;dates&gt;&lt;year&gt;2014&lt;/year&gt;&lt;/dates&gt;&lt;isbn&gt;0254-0584&lt;/isbn&gt;&lt;urls&gt;&lt;/urls&gt;&lt;electronic-resource-num&gt;https://doi.org/10.1016/j.matchemphys.2014.02.020&lt;/electronic-resource-num&gt;&lt;/record&gt;&lt;/Cite&gt;&lt;/EndNote&gt;</w:instrText>
      </w:r>
      <w:r w:rsidR="0061158D" w:rsidRPr="009E7EC5">
        <w:fldChar w:fldCharType="separate"/>
      </w:r>
      <w:r w:rsidR="006265A5">
        <w:rPr>
          <w:noProof/>
        </w:rPr>
        <w:t>(</w:t>
      </w:r>
      <w:hyperlink w:anchor="_ENREF_33" w:tooltip="Zhu, 2014 #70" w:history="1">
        <w:r w:rsidR="00E941E0">
          <w:rPr>
            <w:noProof/>
          </w:rPr>
          <w:t>Zhu, Dong, et al. 2014</w:t>
        </w:r>
      </w:hyperlink>
      <w:r w:rsidR="006265A5">
        <w:rPr>
          <w:noProof/>
        </w:rPr>
        <w:t>)</w:t>
      </w:r>
      <w:r w:rsidR="0061158D" w:rsidRPr="009E7EC5">
        <w:fldChar w:fldCharType="end"/>
      </w:r>
      <w:r w:rsidR="009E7EC5">
        <w:t xml:space="preserve">. </w:t>
      </w:r>
      <w:r w:rsidRPr="009E7EC5">
        <w:t>These observations align with findings from non-isothermal</w:t>
      </w:r>
      <w:r w:rsidRPr="00577F2B">
        <w:t xml:space="preserve"> DSC studies in the </w:t>
      </w:r>
      <w:r w:rsidRPr="009E7EC5">
        <w:t>literature</w:t>
      </w:r>
      <w:r w:rsidR="009E7EC5" w:rsidRPr="009E7EC5">
        <w:t xml:space="preserve"> </w:t>
      </w:r>
      <w:r w:rsidR="009E7EC5" w:rsidRPr="009E7EC5">
        <w:fldChar w:fldCharType="begin"/>
      </w:r>
      <w:r w:rsidR="006265A5">
        <w:instrText xml:space="preserve"> ADDIN EN.CITE &lt;EndNote&gt;&lt;Cite&gt;&lt;Author&gt;Pourmortazavi&lt;/Author&gt;&lt;Year&gt;2012&lt;/Year&gt;&lt;RecNum&gt;73&lt;/RecNum&gt;&lt;DisplayText&gt;(Pourmortazavi, Rahimi-Nasrabadi, et al. 2012)&lt;/DisplayText&gt;&lt;record&gt;&lt;rec-number&gt;73&lt;/rec-number&gt;&lt;foreign-keys&gt;&lt;key app="EN" db-id="sdvpdv0smwr5wzetve1paxxrd52essr05fre"&gt;73&lt;/key&gt;&lt;/foreign-keys&gt;&lt;ref-type name="Journal Article"&gt;17&lt;/ref-type&gt;&lt;contributors&gt;&lt;authors&gt;&lt;author&gt;Pourmortazavi, Seied Mahdi&lt;/author&gt;&lt;author&gt;Rahimi-Nasrabadi, Mehdi&lt;/author&gt;&lt;author&gt;Kohsari, Iraj&lt;/author&gt;&lt;author&gt;Hajimirsadeghi, Seiedeh Somayyeh&lt;/author&gt;&lt;/authors&gt;&lt;/contributors&gt;&lt;titles&gt;&lt;title&gt;Non-isothermal kinetic studies on thermal decomposition of energetic materials: KNF and NTO&lt;/title&gt;&lt;secondary-title&gt;Journal of Thermal Analysis and Calorimetry&lt;/secondary-title&gt;&lt;/titles&gt;&lt;pages&gt;857-863&lt;/pages&gt;&lt;volume&gt;110&lt;/volume&gt;&lt;number&gt;2&lt;/number&gt;&lt;dates&gt;&lt;year&gt;2012&lt;/year&gt;&lt;/dates&gt;&lt;isbn&gt;1388-6150&lt;/isbn&gt;&lt;urls&gt;&lt;/urls&gt;&lt;electronic-resource-num&gt;https://doi.org/10.1007/s10973-011-1845-6&lt;/electronic-resource-num&gt;&lt;/record&gt;&lt;/Cite&gt;&lt;/EndNote&gt;</w:instrText>
      </w:r>
      <w:r w:rsidR="009E7EC5" w:rsidRPr="009E7EC5">
        <w:fldChar w:fldCharType="separate"/>
      </w:r>
      <w:r w:rsidR="006265A5">
        <w:rPr>
          <w:noProof/>
        </w:rPr>
        <w:t>(</w:t>
      </w:r>
      <w:hyperlink w:anchor="_ENREF_22" w:tooltip="Pourmortazavi, 2012 #73" w:history="1">
        <w:r w:rsidR="00E941E0">
          <w:rPr>
            <w:noProof/>
          </w:rPr>
          <w:t>Pourmortazavi, Rahimi-Nasrabadi, et al. 2012</w:t>
        </w:r>
      </w:hyperlink>
      <w:r w:rsidR="006265A5">
        <w:rPr>
          <w:noProof/>
        </w:rPr>
        <w:t>)</w:t>
      </w:r>
      <w:r w:rsidR="009E7EC5" w:rsidRPr="009E7EC5">
        <w:fldChar w:fldCharType="end"/>
      </w:r>
      <w:r w:rsidR="009E7EC5" w:rsidRPr="009E7EC5">
        <w:t xml:space="preserve">. </w:t>
      </w:r>
      <w:r w:rsidRPr="009E7EC5">
        <w:t xml:space="preserve"> </w:t>
      </w:r>
      <w:r w:rsidR="009F4E5F" w:rsidRPr="009F4E5F">
        <w:rPr>
          <w:color w:val="000000" w:themeColor="text1"/>
          <w:lang w:val="en-GB"/>
        </w:rPr>
        <w:t xml:space="preserve">The incorporation of cobalt oxide (CoO) and cobalt oxide supported on activated carbon (AC-CoO) induces a notable reduction in the maximum peak decomposition temperature of nitrocellulose (NC), underscoring the pronounced catalytic influence of these additives on its thermal decomposition behavior. Specifically, at a heating rate of 15 °C/min, the peak decomposition temperature (Tpeak) of pristine NC is observed at 214.9 °C. The introduction of CoO reduces </w:t>
      </w:r>
      <w:r w:rsidR="009F4E5F" w:rsidRPr="00333937">
        <w:rPr>
          <w:color w:val="000000" w:themeColor="text1"/>
          <w:lang w:val="en-GB"/>
        </w:rPr>
        <w:t>T</w:t>
      </w:r>
      <w:r w:rsidR="009F4E5F" w:rsidRPr="00333937">
        <w:rPr>
          <w:color w:val="000000" w:themeColor="text1"/>
          <w:highlight w:val="yellow"/>
          <w:vertAlign w:val="subscript"/>
          <w:lang w:val="en-GB"/>
        </w:rPr>
        <w:t>peak</w:t>
      </w:r>
      <w:r w:rsidR="009F4E5F" w:rsidRPr="009F4E5F">
        <w:rPr>
          <w:color w:val="000000" w:themeColor="text1"/>
          <w:lang w:val="en-GB"/>
        </w:rPr>
        <w:t xml:space="preserve"> to 213.2 °C, while AC-CoO further enhances this catalytic effect, lowering T</w:t>
      </w:r>
      <w:r w:rsidR="009F4E5F" w:rsidRPr="00333937">
        <w:rPr>
          <w:color w:val="000000" w:themeColor="text1"/>
          <w:highlight w:val="yellow"/>
          <w:vertAlign w:val="subscript"/>
          <w:lang w:val="en-GB"/>
        </w:rPr>
        <w:t>peak</w:t>
      </w:r>
      <w:r w:rsidR="009F4E5F" w:rsidRPr="009F4E5F">
        <w:rPr>
          <w:color w:val="000000" w:themeColor="text1"/>
          <w:lang w:val="en-GB"/>
        </w:rPr>
        <w:t xml:space="preserve"> to 212.7 °C. These shifts highlight the enhanced catalytic efficiency of AC-CoO in promoting a more facile thermal decomposition pathway for NC.</w:t>
      </w:r>
      <w:r w:rsidR="001F7878">
        <w:rPr>
          <w:color w:val="000000" w:themeColor="text1"/>
          <w:lang w:val="en-GB"/>
        </w:rPr>
        <w:t xml:space="preserve"> </w:t>
      </w:r>
      <w:r w:rsidR="001F7878" w:rsidRPr="00530E34">
        <w:rPr>
          <w:color w:val="000000" w:themeColor="text1"/>
          <w:highlight w:val="yellow"/>
          <w:lang w:val="en-GB"/>
        </w:rPr>
        <w:t xml:space="preserve">These findings align with previous studies on the catalytic decomposition of nitrocellulose-based energetic composites. </w:t>
      </w:r>
      <w:proofErr w:type="spellStart"/>
      <w:r w:rsidR="001F7878" w:rsidRPr="00530E34">
        <w:rPr>
          <w:color w:val="000000" w:themeColor="text1"/>
          <w:highlight w:val="yellow"/>
          <w:lang w:val="en-GB"/>
        </w:rPr>
        <w:t>Benhammada</w:t>
      </w:r>
      <w:proofErr w:type="spellEnd"/>
      <w:r w:rsidR="001F7878" w:rsidRPr="00530E34">
        <w:rPr>
          <w:color w:val="000000" w:themeColor="text1"/>
          <w:highlight w:val="yellow"/>
          <w:lang w:val="en-GB"/>
        </w:rPr>
        <w:t xml:space="preserve"> et al.</w:t>
      </w:r>
      <w:r w:rsidR="008F1336" w:rsidRPr="00530E34">
        <w:rPr>
          <w:color w:val="000000" w:themeColor="text1"/>
          <w:highlight w:val="yellow"/>
          <w:lang w:val="en-GB"/>
        </w:rPr>
        <w:fldChar w:fldCharType="begin"/>
      </w:r>
      <w:r w:rsidR="008F1336" w:rsidRPr="00530E34">
        <w:rPr>
          <w:color w:val="000000" w:themeColor="text1"/>
          <w:highlight w:val="yellow"/>
          <w:lang w:val="en-GB"/>
        </w:rPr>
        <w:instrText xml:space="preserve"> ADDIN EN.CITE &lt;EndNote&gt;&lt;Cite&gt;&lt;Author&gt;Benhammada&lt;/Author&gt;&lt;Year&gt;2023&lt;/Year&gt;&lt;RecNum&gt;32&lt;/RecNum&gt;&lt;DisplayText&gt;(Benhammada, Trache, et al. 2023)&lt;/DisplayText&gt;&lt;record&gt;&lt;rec-number&gt;32&lt;/rec-number&gt;&lt;foreign-keys&gt;&lt;key app="EN" db-id="sdvpdv0smwr5wzetve1paxxrd52essr05fre"&gt;32&lt;/key&gt;&lt;/foreign-keys&gt;&lt;ref-type name="Journal Article"&gt;17&lt;/ref-type&gt;&lt;contributors&gt;&lt;authors&gt;&lt;author&gt;Benhammada, Abdenacer&lt;/author&gt;&lt;author&gt;Trache, Djalal&lt;/author&gt;&lt;author&gt;Chelouche, Salim&lt;/author&gt;&lt;/authors&gt;&lt;/contributors&gt;&lt;titles&gt;&lt;title&gt;Catalytic effect investigation of α-Fe2O3 and α-Fe2O3-CMS nanocomposites on the thermal behavior of NC/DEGDN mixture: DSC measurements and kinetic modeling&lt;/title&gt;&lt;secondary-title&gt;Journal of the Indian Chemical Society&lt;/secondary-title&gt;&lt;/titles&gt;&lt;pages&gt;100838&lt;/pages&gt;&lt;volume&gt;100&lt;/volume&gt;&lt;number&gt;1&lt;/number&gt;&lt;dates&gt;&lt;year&gt;2023&lt;/year&gt;&lt;/dates&gt;&lt;isbn&gt;0019-4522&lt;/isbn&gt;&lt;urls&gt;&lt;/urls&gt;&lt;electronic-resource-num&gt;https://doi.org/10.1016/j.jics.2022.100838&lt;/electronic-resource-num&gt;&lt;/record&gt;&lt;/Cite&gt;&lt;/EndNote&gt;</w:instrText>
      </w:r>
      <w:r w:rsidR="008F1336" w:rsidRPr="00530E34">
        <w:rPr>
          <w:color w:val="000000" w:themeColor="text1"/>
          <w:highlight w:val="yellow"/>
          <w:lang w:val="en-GB"/>
        </w:rPr>
        <w:fldChar w:fldCharType="separate"/>
      </w:r>
      <w:r w:rsidR="008F1336" w:rsidRPr="00530E34">
        <w:rPr>
          <w:noProof/>
          <w:color w:val="000000" w:themeColor="text1"/>
          <w:highlight w:val="yellow"/>
          <w:lang w:val="en-GB"/>
        </w:rPr>
        <w:t>(</w:t>
      </w:r>
      <w:hyperlink w:anchor="_ENREF_5" w:tooltip="Benhammada, 2023 #32" w:history="1">
        <w:r w:rsidR="00E941E0" w:rsidRPr="00530E34">
          <w:rPr>
            <w:noProof/>
            <w:color w:val="000000" w:themeColor="text1"/>
            <w:highlight w:val="yellow"/>
            <w:lang w:val="en-GB"/>
          </w:rPr>
          <w:t>Benhammada, Trache, et al. 2023</w:t>
        </w:r>
      </w:hyperlink>
      <w:r w:rsidR="008F1336" w:rsidRPr="00530E34">
        <w:rPr>
          <w:noProof/>
          <w:color w:val="000000" w:themeColor="text1"/>
          <w:highlight w:val="yellow"/>
          <w:lang w:val="en-GB"/>
        </w:rPr>
        <w:t>)</w:t>
      </w:r>
      <w:r w:rsidR="008F1336" w:rsidRPr="00530E34">
        <w:rPr>
          <w:color w:val="000000" w:themeColor="text1"/>
          <w:highlight w:val="yellow"/>
          <w:lang w:val="en-GB"/>
        </w:rPr>
        <w:fldChar w:fldCharType="end"/>
      </w:r>
      <w:r w:rsidR="001F7878" w:rsidRPr="00530E34">
        <w:rPr>
          <w:color w:val="000000" w:themeColor="text1"/>
          <w:highlight w:val="yellow"/>
          <w:lang w:val="en-GB"/>
        </w:rPr>
        <w:t xml:space="preserve"> investigated the thermal decomposition behavior of NC/DEGDN (nitrocellulose/diethylene glycol dinitrate) composites in the presence of α-</w:t>
      </w:r>
      <w:proofErr w:type="spellStart"/>
      <w:r w:rsidR="001F7878" w:rsidRPr="00530E34">
        <w:rPr>
          <w:color w:val="000000" w:themeColor="text1"/>
          <w:highlight w:val="yellow"/>
          <w:lang w:val="en-GB"/>
        </w:rPr>
        <w:t>Fe</w:t>
      </w:r>
      <w:r w:rsidR="001F7878" w:rsidRPr="00530E34">
        <w:rPr>
          <w:rFonts w:ascii="Cambria Math" w:hAnsi="Cambria Math" w:cs="Cambria Math"/>
          <w:color w:val="000000" w:themeColor="text1"/>
          <w:highlight w:val="yellow"/>
          <w:lang w:val="en-GB"/>
        </w:rPr>
        <w:t>₂</w:t>
      </w:r>
      <w:r w:rsidR="001F7878" w:rsidRPr="00530E34">
        <w:rPr>
          <w:color w:val="000000" w:themeColor="text1"/>
          <w:highlight w:val="yellow"/>
          <w:lang w:val="en-GB"/>
        </w:rPr>
        <w:t>O</w:t>
      </w:r>
      <w:proofErr w:type="spellEnd"/>
      <w:r w:rsidR="001F7878" w:rsidRPr="00530E34">
        <w:rPr>
          <w:rFonts w:ascii="Cambria Math" w:hAnsi="Cambria Math" w:cs="Cambria Math"/>
          <w:color w:val="000000" w:themeColor="text1"/>
          <w:highlight w:val="yellow"/>
          <w:lang w:val="en-GB"/>
        </w:rPr>
        <w:t>₃</w:t>
      </w:r>
      <w:r w:rsidR="001F7878" w:rsidRPr="00530E34">
        <w:rPr>
          <w:color w:val="000000" w:themeColor="text1"/>
          <w:highlight w:val="yellow"/>
          <w:lang w:val="en-GB"/>
        </w:rPr>
        <w:t xml:space="preserve"> and </w:t>
      </w:r>
      <w:r w:rsidR="001F7878" w:rsidRPr="00530E34">
        <w:rPr>
          <w:rFonts w:cs="Arial"/>
          <w:color w:val="000000" w:themeColor="text1"/>
          <w:highlight w:val="yellow"/>
          <w:lang w:val="en-GB"/>
        </w:rPr>
        <w:t>α</w:t>
      </w:r>
      <w:r w:rsidR="001F7878" w:rsidRPr="00530E34">
        <w:rPr>
          <w:color w:val="000000" w:themeColor="text1"/>
          <w:highlight w:val="yellow"/>
          <w:lang w:val="en-GB"/>
        </w:rPr>
        <w:t>-</w:t>
      </w:r>
      <w:proofErr w:type="spellStart"/>
      <w:r w:rsidR="001F7878" w:rsidRPr="00530E34">
        <w:rPr>
          <w:color w:val="000000" w:themeColor="text1"/>
          <w:highlight w:val="yellow"/>
          <w:lang w:val="en-GB"/>
        </w:rPr>
        <w:t>Fe</w:t>
      </w:r>
      <w:r w:rsidR="001F7878" w:rsidRPr="00530E34">
        <w:rPr>
          <w:rFonts w:ascii="Cambria Math" w:hAnsi="Cambria Math" w:cs="Cambria Math"/>
          <w:color w:val="000000" w:themeColor="text1"/>
          <w:highlight w:val="yellow"/>
          <w:lang w:val="en-GB"/>
        </w:rPr>
        <w:t>₂</w:t>
      </w:r>
      <w:r w:rsidR="001F7878" w:rsidRPr="00530E34">
        <w:rPr>
          <w:color w:val="000000" w:themeColor="text1"/>
          <w:highlight w:val="yellow"/>
          <w:lang w:val="en-GB"/>
        </w:rPr>
        <w:t>O</w:t>
      </w:r>
      <w:proofErr w:type="spellEnd"/>
      <w:r w:rsidR="001F7878" w:rsidRPr="00530E34">
        <w:rPr>
          <w:rFonts w:ascii="Cambria Math" w:hAnsi="Cambria Math" w:cs="Cambria Math"/>
          <w:color w:val="000000" w:themeColor="text1"/>
          <w:highlight w:val="yellow"/>
          <w:lang w:val="en-GB"/>
        </w:rPr>
        <w:t>₃</w:t>
      </w:r>
      <w:r w:rsidR="001F7878" w:rsidRPr="00530E34">
        <w:rPr>
          <w:color w:val="000000" w:themeColor="text1"/>
          <w:highlight w:val="yellow"/>
          <w:lang w:val="en-GB"/>
        </w:rPr>
        <w:t>-CMS (iron oxide</w:t>
      </w:r>
      <w:r w:rsidR="001F7878" w:rsidRPr="00530E34">
        <w:rPr>
          <w:rFonts w:cs="Arial"/>
          <w:color w:val="000000" w:themeColor="text1"/>
          <w:highlight w:val="yellow"/>
          <w:lang w:val="en-GB"/>
        </w:rPr>
        <w:t>–</w:t>
      </w:r>
      <w:r w:rsidR="001F7878" w:rsidRPr="00530E34">
        <w:rPr>
          <w:color w:val="000000" w:themeColor="text1"/>
          <w:highlight w:val="yellow"/>
          <w:lang w:val="en-GB"/>
        </w:rPr>
        <w:t>carbon mesospheres). Their results demonstrated a reduction in decomposition peak temperature by 3.1°C and 4.7°C, respectively, while also decreasing the activation energy by 11.9 kJ/mol and 27.97 kJ/mol. The superior catalytic efficiency of α-</w:t>
      </w:r>
      <w:proofErr w:type="spellStart"/>
      <w:r w:rsidR="001F7878" w:rsidRPr="00530E34">
        <w:rPr>
          <w:color w:val="000000" w:themeColor="text1"/>
          <w:highlight w:val="yellow"/>
          <w:lang w:val="en-GB"/>
        </w:rPr>
        <w:t>Fe</w:t>
      </w:r>
      <w:r w:rsidR="001F7878" w:rsidRPr="00530E34">
        <w:rPr>
          <w:rFonts w:ascii="Cambria Math" w:hAnsi="Cambria Math" w:cs="Cambria Math"/>
          <w:color w:val="000000" w:themeColor="text1"/>
          <w:highlight w:val="yellow"/>
          <w:lang w:val="en-GB"/>
        </w:rPr>
        <w:t>₂</w:t>
      </w:r>
      <w:r w:rsidR="001F7878" w:rsidRPr="00530E34">
        <w:rPr>
          <w:color w:val="000000" w:themeColor="text1"/>
          <w:highlight w:val="yellow"/>
          <w:lang w:val="en-GB"/>
        </w:rPr>
        <w:t>O</w:t>
      </w:r>
      <w:proofErr w:type="spellEnd"/>
      <w:r w:rsidR="001F7878" w:rsidRPr="00530E34">
        <w:rPr>
          <w:rFonts w:ascii="Cambria Math" w:hAnsi="Cambria Math" w:cs="Cambria Math"/>
          <w:color w:val="000000" w:themeColor="text1"/>
          <w:highlight w:val="yellow"/>
          <w:lang w:val="en-GB"/>
        </w:rPr>
        <w:t>₃</w:t>
      </w:r>
      <w:r w:rsidR="001F7878" w:rsidRPr="00530E34">
        <w:rPr>
          <w:color w:val="000000" w:themeColor="text1"/>
          <w:highlight w:val="yellow"/>
          <w:lang w:val="en-GB"/>
        </w:rPr>
        <w:t xml:space="preserve">-CMS was attributed to the role of carbon mesospheres (CMS) in enhancing </w:t>
      </w:r>
      <w:proofErr w:type="spellStart"/>
      <w:r w:rsidR="001F7878" w:rsidRPr="00530E34">
        <w:rPr>
          <w:color w:val="000000" w:themeColor="text1"/>
          <w:highlight w:val="yellow"/>
          <w:lang w:val="en-GB"/>
        </w:rPr>
        <w:t>Fe</w:t>
      </w:r>
      <w:r w:rsidR="001F7878" w:rsidRPr="00530E34">
        <w:rPr>
          <w:rFonts w:ascii="Cambria Math" w:hAnsi="Cambria Math" w:cs="Cambria Math"/>
          <w:color w:val="000000" w:themeColor="text1"/>
          <w:highlight w:val="yellow"/>
          <w:lang w:val="en-GB"/>
        </w:rPr>
        <w:t>₂</w:t>
      </w:r>
      <w:r w:rsidR="001F7878" w:rsidRPr="00530E34">
        <w:rPr>
          <w:color w:val="000000" w:themeColor="text1"/>
          <w:highlight w:val="yellow"/>
          <w:lang w:val="en-GB"/>
        </w:rPr>
        <w:t>O</w:t>
      </w:r>
      <w:proofErr w:type="spellEnd"/>
      <w:r w:rsidR="001F7878" w:rsidRPr="00530E34">
        <w:rPr>
          <w:rFonts w:ascii="Cambria Math" w:hAnsi="Cambria Math" w:cs="Cambria Math"/>
          <w:color w:val="000000" w:themeColor="text1"/>
          <w:highlight w:val="yellow"/>
          <w:lang w:val="en-GB"/>
        </w:rPr>
        <w:t>₃</w:t>
      </w:r>
      <w:r w:rsidR="001F7878" w:rsidRPr="00530E34">
        <w:rPr>
          <w:color w:val="000000" w:themeColor="text1"/>
          <w:highlight w:val="yellow"/>
          <w:lang w:val="en-GB"/>
        </w:rPr>
        <w:t xml:space="preserve"> nanoparticle dispersion, preventing agglomeration, and improving the overall catalytic activity</w:t>
      </w:r>
      <w:r w:rsidR="001F7878" w:rsidRPr="001F7878">
        <w:rPr>
          <w:color w:val="000000" w:themeColor="text1"/>
          <w:lang w:val="en-GB"/>
        </w:rPr>
        <w:t>.</w:t>
      </w:r>
    </w:p>
    <w:p w14:paraId="6504D805" w14:textId="49A7F853" w:rsidR="00961078" w:rsidRPr="00577F2B" w:rsidRDefault="00810298" w:rsidP="00950E45">
      <w:pPr>
        <w:pStyle w:val="CETBodytext"/>
        <w:jc w:val="center"/>
        <w:rPr>
          <w:color w:val="000000" w:themeColor="text1"/>
        </w:rPr>
      </w:pPr>
      <w:r w:rsidRPr="00810298">
        <w:rPr>
          <w:noProof/>
          <w:color w:val="000000" w:themeColor="text1"/>
        </w:rPr>
        <w:drawing>
          <wp:inline distT="0" distB="0" distL="0" distR="0" wp14:anchorId="03D842FE" wp14:editId="4895FB4E">
            <wp:extent cx="5244573" cy="4071620"/>
            <wp:effectExtent l="0" t="0" r="0" b="5080"/>
            <wp:docPr id="3" name="Image 3" descr="F:\doctorat\CONFERENCE\conference ICHEAP Italy\figure 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ctorat\CONFERENCE\conference ICHEAP Italy\figure 3.2.tif"/>
                    <pic:cNvPicPr>
                      <a:picLocks noChangeAspect="1" noChangeArrowheads="1"/>
                    </pic:cNvPicPr>
                  </pic:nvPicPr>
                  <pic:blipFill rotWithShape="1">
                    <a:blip r:embed="rId14">
                      <a:extLst>
                        <a:ext uri="{28A0092B-C50C-407E-A947-70E740481C1C}">
                          <a14:useLocalDpi xmlns:a14="http://schemas.microsoft.com/office/drawing/2010/main" val="0"/>
                        </a:ext>
                      </a:extLst>
                    </a:blip>
                    <a:srcRect l="17756" t="2048" r="14976" b="1056"/>
                    <a:stretch/>
                  </pic:blipFill>
                  <pic:spPr bwMode="auto">
                    <a:xfrm>
                      <a:off x="0" y="0"/>
                      <a:ext cx="5274718" cy="4095023"/>
                    </a:xfrm>
                    <a:prstGeom prst="rect">
                      <a:avLst/>
                    </a:prstGeom>
                    <a:noFill/>
                    <a:ln>
                      <a:noFill/>
                    </a:ln>
                    <a:extLst>
                      <a:ext uri="{53640926-AAD7-44D8-BBD7-CCE9431645EC}">
                        <a14:shadowObscured xmlns:a14="http://schemas.microsoft.com/office/drawing/2010/main"/>
                      </a:ext>
                    </a:extLst>
                  </pic:spPr>
                </pic:pic>
              </a:graphicData>
            </a:graphic>
          </wp:inline>
        </w:drawing>
      </w:r>
    </w:p>
    <w:p w14:paraId="62782B5D" w14:textId="77777777" w:rsidR="00961078" w:rsidRPr="00E73A19" w:rsidRDefault="00961078" w:rsidP="00961078">
      <w:pPr>
        <w:pStyle w:val="CETCaption"/>
      </w:pPr>
      <w:r w:rsidRPr="00773F5F">
        <w:rPr>
          <w:b/>
          <w:bCs/>
          <w:lang w:val="pl-PL"/>
        </w:rPr>
        <w:t>Figure 3.</w:t>
      </w:r>
      <w:r w:rsidRPr="00773F5F">
        <w:rPr>
          <w:lang w:val="pl-PL"/>
        </w:rPr>
        <w:t xml:space="preserve"> a) DSC thermograms of NC energetic composites at various heating rates, b) Evolution of activation energy (Ea) as a function of conversion, and c) Average activation energy values for the synthesized NC energetic composites.</w:t>
      </w:r>
    </w:p>
    <w:p w14:paraId="22D3AAA8" w14:textId="0E84DB74" w:rsidR="008E78AB" w:rsidRPr="001947FB" w:rsidRDefault="008E78AB" w:rsidP="001947FB">
      <w:pPr>
        <w:pStyle w:val="CETBodytext"/>
        <w:rPr>
          <w:color w:val="000000" w:themeColor="text1"/>
        </w:rPr>
      </w:pPr>
      <w:r w:rsidRPr="00E73A19">
        <w:rPr>
          <w:color w:val="000000" w:themeColor="text1"/>
        </w:rPr>
        <w:lastRenderedPageBreak/>
        <w:t>To calculate the kinetic parameters, particularly the activation energy (</w:t>
      </w:r>
      <w:proofErr w:type="spellStart"/>
      <w:r w:rsidRPr="00E73A19">
        <w:rPr>
          <w:color w:val="000000" w:themeColor="text1"/>
        </w:rPr>
        <w:t>Ea</w:t>
      </w:r>
      <w:proofErr w:type="spellEnd"/>
      <w:r w:rsidRPr="00E73A19">
        <w:rPr>
          <w:color w:val="000000" w:themeColor="text1"/>
        </w:rPr>
        <w:t>), MATLAB software was employed</w:t>
      </w:r>
      <w:r w:rsidR="003C32EC">
        <w:rPr>
          <w:color w:val="000000" w:themeColor="text1"/>
        </w:rPr>
        <w:t>,</w:t>
      </w:r>
      <w:r w:rsidR="003C32EC" w:rsidRPr="003C32EC">
        <w:rPr>
          <w:lang w:val="en-GB"/>
        </w:rPr>
        <w:t xml:space="preserve"> </w:t>
      </w:r>
      <w:r w:rsidR="003C32EC" w:rsidRPr="003C32EC">
        <w:rPr>
          <w:color w:val="000000" w:themeColor="text1"/>
          <w:lang w:val="en-GB"/>
        </w:rPr>
        <w:t>which enabled precise calculations</w:t>
      </w:r>
      <w:r w:rsidR="003C32EC">
        <w:rPr>
          <w:color w:val="000000" w:themeColor="text1"/>
        </w:rPr>
        <w:t xml:space="preserve"> </w:t>
      </w:r>
      <w:r w:rsidR="003C32EC" w:rsidRPr="003C32EC">
        <w:rPr>
          <w:color w:val="000000" w:themeColor="text1"/>
          <w:lang w:val="en-GB"/>
        </w:rPr>
        <w:t>by evaluating the extent of conversion at each temperature.</w:t>
      </w:r>
      <w:r w:rsidRPr="009E7EC5">
        <w:t xml:space="preserve"> </w:t>
      </w:r>
      <w:r w:rsidR="001947FB" w:rsidRPr="001947FB">
        <w:rPr>
          <w:lang w:val="en-GB"/>
        </w:rPr>
        <w:t xml:space="preserve">This approach involved integrating the peak areas of </w:t>
      </w:r>
      <w:r w:rsidR="001947FB" w:rsidRPr="00582D35">
        <w:rPr>
          <w:lang w:val="en-GB"/>
        </w:rPr>
        <w:t>DSC thermograms</w:t>
      </w:r>
      <w:r w:rsidR="001947FB" w:rsidRPr="001947FB">
        <w:rPr>
          <w:lang w:val="en-GB"/>
        </w:rPr>
        <w:t xml:space="preserve"> recorded at different heating rates. To minimize errors associated with the initial and final stages of decomposition, the conversion range was set between 0.02 and 0.98.</w:t>
      </w:r>
    </w:p>
    <w:p w14:paraId="2BFB2258" w14:textId="6A690CA4" w:rsidR="0085568B" w:rsidRPr="00B50483" w:rsidRDefault="008E78AB" w:rsidP="00E941E0">
      <w:pPr>
        <w:pStyle w:val="CETBodytext"/>
        <w:rPr>
          <w:color w:val="000000" w:themeColor="text1"/>
          <w:highlight w:val="yellow"/>
          <w:lang w:val="en-GB"/>
        </w:rPr>
      </w:pPr>
      <w:r w:rsidRPr="00E73A19">
        <w:rPr>
          <w:color w:val="000000" w:themeColor="text1"/>
        </w:rPr>
        <w:t>Figure</w:t>
      </w:r>
      <w:r w:rsidR="00E73A19">
        <w:rPr>
          <w:color w:val="000000" w:themeColor="text1"/>
        </w:rPr>
        <w:t>s</w:t>
      </w:r>
      <w:r w:rsidRPr="00E73A19">
        <w:rPr>
          <w:color w:val="000000" w:themeColor="text1"/>
        </w:rPr>
        <w:t xml:space="preserve"> 3b</w:t>
      </w:r>
      <w:r w:rsidR="00E73A19">
        <w:rPr>
          <w:color w:val="000000" w:themeColor="text1"/>
        </w:rPr>
        <w:t xml:space="preserve"> and 3c</w:t>
      </w:r>
      <w:r w:rsidRPr="00E73A19">
        <w:rPr>
          <w:color w:val="000000" w:themeColor="text1"/>
        </w:rPr>
        <w:t xml:space="preserve"> illustrates the evolution of activation energy (</w:t>
      </w:r>
      <w:proofErr w:type="spellStart"/>
      <w:r w:rsidRPr="00E73A19">
        <w:rPr>
          <w:color w:val="000000" w:themeColor="text1"/>
        </w:rPr>
        <w:t>Ea</w:t>
      </w:r>
      <w:proofErr w:type="spellEnd"/>
      <w:r w:rsidRPr="00E73A19">
        <w:rPr>
          <w:color w:val="000000" w:themeColor="text1"/>
        </w:rPr>
        <w:t>) as a function of the conversion rate for all the prepared composites. The key observation from the data is the consistent activation energy values across all NC-based composites, which were investigated using isoconversional methods. This consistency highlights the reliability and accuracy of the applied techniques. Furthermore, the average activation energy (</w:t>
      </w:r>
      <w:proofErr w:type="spellStart"/>
      <w:r w:rsidRPr="00E73A19">
        <w:rPr>
          <w:color w:val="000000" w:themeColor="text1"/>
        </w:rPr>
        <w:t>Ea</w:t>
      </w:r>
      <w:proofErr w:type="spellEnd"/>
      <w:r w:rsidRPr="00E73A19">
        <w:rPr>
          <w:color w:val="000000" w:themeColor="text1"/>
        </w:rPr>
        <w:t xml:space="preserve">) for all the studied NC-based composites falls within the range of </w:t>
      </w:r>
      <w:r w:rsidRPr="0027578A">
        <w:rPr>
          <w:color w:val="000000" w:themeColor="text1"/>
        </w:rPr>
        <w:t>1</w:t>
      </w:r>
      <w:r w:rsidR="003039C2">
        <w:rPr>
          <w:color w:val="000000" w:themeColor="text1"/>
        </w:rPr>
        <w:t>2</w:t>
      </w:r>
      <w:r w:rsidR="00C21413">
        <w:rPr>
          <w:color w:val="000000" w:themeColor="text1"/>
        </w:rPr>
        <w:t>0</w:t>
      </w:r>
      <w:r w:rsidRPr="0027578A">
        <w:rPr>
          <w:color w:val="000000" w:themeColor="text1"/>
        </w:rPr>
        <w:t xml:space="preserve"> to </w:t>
      </w:r>
      <w:r w:rsidR="00C21413">
        <w:rPr>
          <w:color w:val="000000" w:themeColor="text1"/>
        </w:rPr>
        <w:t>200</w:t>
      </w:r>
      <w:r w:rsidRPr="0027578A">
        <w:rPr>
          <w:color w:val="000000" w:themeColor="text1"/>
        </w:rPr>
        <w:t xml:space="preserve"> kJ/mol</w:t>
      </w:r>
      <w:r w:rsidRPr="00E73A19">
        <w:rPr>
          <w:color w:val="000000" w:themeColor="text1"/>
        </w:rPr>
        <w:t>, a range typical</w:t>
      </w:r>
      <w:r w:rsidR="00A00E1D">
        <w:rPr>
          <w:color w:val="000000" w:themeColor="text1"/>
        </w:rPr>
        <w:t xml:space="preserve"> for</w:t>
      </w:r>
      <w:r w:rsidRPr="00E73A19">
        <w:rPr>
          <w:color w:val="000000" w:themeColor="text1"/>
        </w:rPr>
        <w:t xml:space="preserve"> </w:t>
      </w:r>
      <w:r w:rsidR="00A00E1D" w:rsidRPr="00A00E1D">
        <w:rPr>
          <w:color w:val="000000" w:themeColor="text1"/>
          <w:lang w:val="en-GB"/>
        </w:rPr>
        <w:t>nitrocellulose-based materials</w:t>
      </w:r>
      <w:r w:rsidR="00FF2303" w:rsidRPr="00A00E1D">
        <w:rPr>
          <w:color w:val="000000" w:themeColor="text1"/>
        </w:rPr>
        <w:t xml:space="preserve"> </w:t>
      </w:r>
      <w:r w:rsidR="00FF2303" w:rsidRPr="00A00E1D">
        <w:rPr>
          <w:color w:val="000000" w:themeColor="text1"/>
        </w:rPr>
        <w:fldChar w:fldCharType="begin"/>
      </w:r>
      <w:r w:rsidR="005604FC">
        <w:rPr>
          <w:color w:val="000000" w:themeColor="text1"/>
        </w:rPr>
        <w:instrText xml:space="preserve"> ADDIN EN.CITE &lt;EndNote&gt;&lt;Cite&gt;&lt;Author&gt;Pourmortazavi&lt;/Author&gt;&lt;Year&gt;2019&lt;/Year&gt;&lt;RecNum&gt;88&lt;/RecNum&gt;&lt;DisplayText&gt;(Pourmortazavi, Mirzajani, et al. 2019a)&lt;/DisplayText&gt;&lt;record&gt;&lt;rec-number&gt;88&lt;/rec-number&gt;&lt;foreign-keys&gt;&lt;key app="EN" db-id="sdvpdv0smwr5wzetve1paxxrd52essr05fre"&gt;88&lt;/key&gt;&lt;/foreign-keys&gt;&lt;ref-type name="Journal Article"&gt;17&lt;/ref-type&gt;&lt;contributors&gt;&lt;authors&gt;&lt;author&gt;Pourmortazavi, Seied Mahdi&lt;/author&gt;&lt;author&gt;Mirzajani, Vahid&lt;/author&gt;&lt;author&gt;Farhadi, Khalil&lt;/author&gt;&lt;/authors&gt;&lt;/contributors&gt;&lt;titles&gt;&lt;title&gt;Thermal behavior and thermokinetic of double-base propellant catalyzed with magnesium oxide nanoparticles&lt;/title&gt;&lt;secondary-title&gt;Journal of Thermal Analysis and Calorimetry&lt;/secondary-title&gt;&lt;/titles&gt;&lt;pages&gt;93-104&lt;/pages&gt;&lt;volume&gt;137&lt;/volume&gt;&lt;dates&gt;&lt;year&gt;2019&lt;/year&gt;&lt;/dates&gt;&lt;isbn&gt;1388-6150&lt;/isbn&gt;&lt;urls&gt;&lt;/urls&gt;&lt;/record&gt;&lt;/Cite&gt;&lt;/EndNote&gt;</w:instrText>
      </w:r>
      <w:r w:rsidR="00FF2303" w:rsidRPr="00A00E1D">
        <w:rPr>
          <w:color w:val="000000" w:themeColor="text1"/>
        </w:rPr>
        <w:fldChar w:fldCharType="separate"/>
      </w:r>
      <w:r w:rsidR="005604FC">
        <w:rPr>
          <w:noProof/>
          <w:color w:val="000000" w:themeColor="text1"/>
        </w:rPr>
        <w:t>(</w:t>
      </w:r>
      <w:hyperlink w:anchor="_ENREF_20" w:tooltip="Pourmortazavi, 2019 #88" w:history="1">
        <w:r w:rsidR="00E941E0">
          <w:rPr>
            <w:noProof/>
            <w:color w:val="000000" w:themeColor="text1"/>
          </w:rPr>
          <w:t>Pourmortazavi, Mirzajani, et al. 2019a</w:t>
        </w:r>
      </w:hyperlink>
      <w:r w:rsidR="005604FC">
        <w:rPr>
          <w:noProof/>
          <w:color w:val="000000" w:themeColor="text1"/>
        </w:rPr>
        <w:t>)</w:t>
      </w:r>
      <w:r w:rsidR="00FF2303" w:rsidRPr="00A00E1D">
        <w:rPr>
          <w:color w:val="000000" w:themeColor="text1"/>
        </w:rPr>
        <w:fldChar w:fldCharType="end"/>
      </w:r>
      <w:r w:rsidR="00FF2303" w:rsidRPr="00A00E1D">
        <w:rPr>
          <w:color w:val="000000" w:themeColor="text1"/>
        </w:rPr>
        <w:t>.</w:t>
      </w:r>
      <w:r w:rsidR="00A00E1D">
        <w:rPr>
          <w:color w:val="000000" w:themeColor="text1"/>
        </w:rPr>
        <w:t xml:space="preserve"> </w:t>
      </w:r>
      <w:r w:rsidR="00582D35" w:rsidRPr="00B50483">
        <w:rPr>
          <w:color w:val="000000" w:themeColor="text1"/>
          <w:highlight w:val="yellow"/>
        </w:rPr>
        <w:t xml:space="preserve">The catalytic effect of CoO is evident, as its incorporation reduces the activation energy to 152 kJ/mol, indicating an enhanced decomposition process. When CoO is supported on activated carbon (AC-CoO), the activation energy decreases further to 136 kJ/mol, demonstrating a significant improvement in catalytic performance. </w:t>
      </w:r>
      <w:r w:rsidR="0085568B" w:rsidRPr="00B50483">
        <w:rPr>
          <w:color w:val="000000" w:themeColor="text1"/>
          <w:highlight w:val="yellow"/>
          <w:lang w:val="en-GB"/>
        </w:rPr>
        <w:t>To better situate these findings, Table 1 presents a comparison of activation energy values reported for various NC-based energetic composites.</w:t>
      </w:r>
    </w:p>
    <w:p w14:paraId="112528CD" w14:textId="6B91DA27" w:rsidR="00B50483" w:rsidRPr="00B50483" w:rsidRDefault="00B50483" w:rsidP="00B50483">
      <w:pPr>
        <w:pStyle w:val="CETBodytext"/>
        <w:rPr>
          <w:i/>
          <w:iCs/>
          <w:color w:val="000000" w:themeColor="text1"/>
          <w:highlight w:val="yellow"/>
          <w:lang w:val="en-GB"/>
        </w:rPr>
      </w:pPr>
      <w:r w:rsidRPr="00B50483">
        <w:rPr>
          <w:b/>
          <w:bCs/>
          <w:i/>
          <w:iCs/>
          <w:color w:val="000000" w:themeColor="text1"/>
          <w:highlight w:val="yellow"/>
          <w:lang w:val="en-GB"/>
        </w:rPr>
        <w:t>Table1.</w:t>
      </w:r>
      <w:r w:rsidRPr="00B50483">
        <w:rPr>
          <w:i/>
          <w:iCs/>
          <w:color w:val="000000" w:themeColor="text1"/>
          <w:highlight w:val="yellow"/>
          <w:lang w:val="en-GB"/>
        </w:rPr>
        <w:t xml:space="preserve"> Comparison of activation energy (</w:t>
      </w:r>
      <w:proofErr w:type="spellStart"/>
      <w:r w:rsidRPr="00B50483">
        <w:rPr>
          <w:i/>
          <w:iCs/>
          <w:color w:val="000000" w:themeColor="text1"/>
          <w:highlight w:val="yellow"/>
          <w:lang w:val="en-GB"/>
        </w:rPr>
        <w:t>ea</w:t>
      </w:r>
      <w:proofErr w:type="spellEnd"/>
      <w:r w:rsidRPr="00B50483">
        <w:rPr>
          <w:i/>
          <w:iCs/>
          <w:color w:val="000000" w:themeColor="text1"/>
          <w:highlight w:val="yellow"/>
          <w:lang w:val="en-GB"/>
        </w:rPr>
        <w:t xml:space="preserve">) values for various </w:t>
      </w:r>
      <w:proofErr w:type="spellStart"/>
      <w:r w:rsidRPr="00B50483">
        <w:rPr>
          <w:i/>
          <w:iCs/>
          <w:color w:val="000000" w:themeColor="text1"/>
          <w:highlight w:val="yellow"/>
          <w:lang w:val="en-GB"/>
        </w:rPr>
        <w:t>nc</w:t>
      </w:r>
      <w:proofErr w:type="spellEnd"/>
      <w:r w:rsidRPr="00B50483">
        <w:rPr>
          <w:i/>
          <w:iCs/>
          <w:color w:val="000000" w:themeColor="text1"/>
          <w:highlight w:val="yellow"/>
          <w:lang w:val="en-GB"/>
        </w:rPr>
        <w:t>-based energetic composites</w:t>
      </w:r>
    </w:p>
    <w:tbl>
      <w:tblPr>
        <w:tblStyle w:val="Grilledutableau"/>
        <w:tblW w:w="0" w:type="auto"/>
        <w:tblLook w:val="04A0" w:firstRow="1" w:lastRow="0" w:firstColumn="1" w:lastColumn="0" w:noHBand="0" w:noVBand="1"/>
      </w:tblPr>
      <w:tblGrid>
        <w:gridCol w:w="4248"/>
        <w:gridCol w:w="1276"/>
        <w:gridCol w:w="3253"/>
      </w:tblGrid>
      <w:tr w:rsidR="00EC1AE0" w:rsidRPr="00B50483" w14:paraId="14F2E483" w14:textId="77777777" w:rsidTr="00B50483">
        <w:tc>
          <w:tcPr>
            <w:tcW w:w="4248" w:type="dxa"/>
            <w:vAlign w:val="center"/>
          </w:tcPr>
          <w:p w14:paraId="4A4EBB03" w14:textId="7F0553C1" w:rsidR="00EC1AE0" w:rsidRPr="00B50483" w:rsidRDefault="00EC1AE0" w:rsidP="00EC1AE0">
            <w:pPr>
              <w:pStyle w:val="CETBodytext"/>
              <w:rPr>
                <w:color w:val="000000" w:themeColor="text1"/>
                <w:highlight w:val="yellow"/>
              </w:rPr>
            </w:pPr>
            <w:r w:rsidRPr="00B50483">
              <w:rPr>
                <w:b/>
                <w:bCs/>
                <w:color w:val="000000" w:themeColor="text1"/>
                <w:highlight w:val="yellow"/>
                <w:lang w:val="en-GB"/>
              </w:rPr>
              <w:t>NC-based energetic composite</w:t>
            </w:r>
          </w:p>
        </w:tc>
        <w:tc>
          <w:tcPr>
            <w:tcW w:w="1276" w:type="dxa"/>
            <w:vAlign w:val="center"/>
          </w:tcPr>
          <w:p w14:paraId="49694033" w14:textId="0102869A" w:rsidR="00EC1AE0" w:rsidRPr="00B50483" w:rsidRDefault="00EC1AE0" w:rsidP="00EC1AE0">
            <w:pPr>
              <w:pStyle w:val="CETBodytext"/>
              <w:rPr>
                <w:color w:val="000000" w:themeColor="text1"/>
                <w:highlight w:val="yellow"/>
              </w:rPr>
            </w:pPr>
            <w:proofErr w:type="spellStart"/>
            <w:r w:rsidRPr="00B50483">
              <w:rPr>
                <w:b/>
                <w:bCs/>
                <w:color w:val="000000" w:themeColor="text1"/>
                <w:highlight w:val="yellow"/>
              </w:rPr>
              <w:t>Ea</w:t>
            </w:r>
            <w:proofErr w:type="spellEnd"/>
            <w:r w:rsidRPr="00B50483">
              <w:rPr>
                <w:b/>
                <w:bCs/>
                <w:color w:val="000000" w:themeColor="text1"/>
                <w:highlight w:val="yellow"/>
              </w:rPr>
              <w:t xml:space="preserve"> (kJ/mol)</w:t>
            </w:r>
          </w:p>
        </w:tc>
        <w:tc>
          <w:tcPr>
            <w:tcW w:w="3253"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1"/>
            </w:tblGrid>
            <w:tr w:rsidR="00EC1AE0" w:rsidRPr="00B50483" w14:paraId="5D3FBCC4" w14:textId="77777777" w:rsidTr="00267C71">
              <w:trPr>
                <w:tblCellSpacing w:w="15" w:type="dxa"/>
              </w:trPr>
              <w:tc>
                <w:tcPr>
                  <w:tcW w:w="0" w:type="auto"/>
                  <w:vAlign w:val="center"/>
                  <w:hideMark/>
                </w:tcPr>
                <w:p w14:paraId="6A1FB3C0" w14:textId="77777777" w:rsidR="00EC1AE0" w:rsidRPr="00B50483" w:rsidRDefault="00EC1AE0" w:rsidP="00EC1AE0">
                  <w:pPr>
                    <w:pStyle w:val="CETBodytext"/>
                    <w:rPr>
                      <w:b/>
                      <w:bCs/>
                      <w:color w:val="000000" w:themeColor="text1"/>
                      <w:highlight w:val="yellow"/>
                    </w:rPr>
                  </w:pPr>
                  <w:r w:rsidRPr="00B50483">
                    <w:rPr>
                      <w:b/>
                      <w:bCs/>
                      <w:color w:val="000000" w:themeColor="text1"/>
                      <w:highlight w:val="yellow"/>
                    </w:rPr>
                    <w:t>Reference</w:t>
                  </w:r>
                </w:p>
              </w:tc>
            </w:tr>
          </w:tbl>
          <w:p w14:paraId="65D0C3C2" w14:textId="77777777" w:rsidR="00EC1AE0" w:rsidRPr="00B50483" w:rsidRDefault="00EC1AE0" w:rsidP="00EC1AE0">
            <w:pPr>
              <w:pStyle w:val="CETBodytext"/>
              <w:rPr>
                <w:color w:val="000000" w:themeColor="text1"/>
                <w:highlight w:val="yellow"/>
              </w:rPr>
            </w:pPr>
          </w:p>
        </w:tc>
      </w:tr>
      <w:tr w:rsidR="000301DB" w:rsidRPr="00B50483" w14:paraId="0A100B4C" w14:textId="77777777" w:rsidTr="00B50483">
        <w:tc>
          <w:tcPr>
            <w:tcW w:w="4248" w:type="dxa"/>
            <w:vAlign w:val="center"/>
          </w:tcPr>
          <w:p w14:paraId="453532CE" w14:textId="32227AEA" w:rsidR="000301DB" w:rsidRPr="00B50483" w:rsidRDefault="000301DB" w:rsidP="00267C71">
            <w:pPr>
              <w:pStyle w:val="CETBodytext"/>
              <w:rPr>
                <w:color w:val="000000" w:themeColor="text1"/>
                <w:highlight w:val="yellow"/>
                <w:lang w:val="en-GB"/>
              </w:rPr>
            </w:pPr>
            <w:r w:rsidRPr="00B50483">
              <w:rPr>
                <w:color w:val="000000" w:themeColor="text1"/>
                <w:highlight w:val="yellow"/>
                <w:lang w:val="en-GB"/>
              </w:rPr>
              <w:t>Nitrocellulose (NC)</w:t>
            </w:r>
          </w:p>
        </w:tc>
        <w:tc>
          <w:tcPr>
            <w:tcW w:w="1276" w:type="dxa"/>
            <w:vAlign w:val="center"/>
          </w:tcPr>
          <w:p w14:paraId="24EAF20A" w14:textId="73E6AD5A" w:rsidR="000301DB" w:rsidRPr="00B50483" w:rsidRDefault="000301DB" w:rsidP="00267C71">
            <w:pPr>
              <w:pStyle w:val="CETBodytext"/>
              <w:rPr>
                <w:color w:val="000000" w:themeColor="text1"/>
                <w:highlight w:val="yellow"/>
                <w:lang w:val="en-GB"/>
              </w:rPr>
            </w:pPr>
            <w:r w:rsidRPr="00B50483">
              <w:rPr>
                <w:color w:val="000000" w:themeColor="text1"/>
                <w:highlight w:val="yellow"/>
                <w:lang w:val="en-GB"/>
              </w:rPr>
              <w:t xml:space="preserve">207.48 </w:t>
            </w:r>
          </w:p>
        </w:tc>
        <w:tc>
          <w:tcPr>
            <w:tcW w:w="3253" w:type="dxa"/>
            <w:vMerge w:val="restart"/>
            <w:vAlign w:val="center"/>
          </w:tcPr>
          <w:p w14:paraId="64541E01" w14:textId="43B1142B" w:rsidR="000301DB" w:rsidRPr="00B50483" w:rsidRDefault="000301DB" w:rsidP="00E941E0">
            <w:pPr>
              <w:pStyle w:val="CETBodytext"/>
              <w:rPr>
                <w:color w:val="000000" w:themeColor="text1"/>
                <w:highlight w:val="yellow"/>
                <w:lang w:val="en-GB"/>
              </w:rPr>
            </w:pPr>
            <w:proofErr w:type="spellStart"/>
            <w:r w:rsidRPr="00B50483">
              <w:rPr>
                <w:color w:val="000000" w:themeColor="text1"/>
                <w:highlight w:val="yellow"/>
                <w:lang w:val="en-GB"/>
              </w:rPr>
              <w:t>Guo</w:t>
            </w:r>
            <w:proofErr w:type="spellEnd"/>
            <w:r w:rsidRPr="00B50483">
              <w:rPr>
                <w:color w:val="000000" w:themeColor="text1"/>
                <w:highlight w:val="yellow"/>
                <w:lang w:val="en-GB"/>
              </w:rPr>
              <w:t xml:space="preserve"> et al. </w:t>
            </w:r>
            <w:r w:rsidRPr="00B50483">
              <w:rPr>
                <w:color w:val="000000" w:themeColor="text1"/>
                <w:highlight w:val="yellow"/>
                <w:lang w:val="en-GB"/>
              </w:rPr>
              <w:fldChar w:fldCharType="begin"/>
            </w:r>
            <w:r w:rsidRPr="00B50483">
              <w:rPr>
                <w:color w:val="000000" w:themeColor="text1"/>
                <w:highlight w:val="yellow"/>
                <w:lang w:val="en-GB"/>
              </w:rPr>
              <w:instrText xml:space="preserve"> ADDIN EN.CITE &lt;EndNote&gt;&lt;Cite&gt;&lt;Author&gt;Guo&lt;/Author&gt;&lt;Year&gt;2019&lt;/Year&gt;&lt;RecNum&gt;144&lt;/RecNum&gt;&lt;DisplayText&gt;(Guo, Zhao, et al. 2019)&lt;/DisplayText&gt;&lt;record&gt;&lt;rec-number&gt;144&lt;/rec-number&gt;&lt;foreign-keys&gt;&lt;key app="EN" db-id="sdvpdv0smwr5wzetve1paxxrd52essr05fre"&gt;144&lt;/key&gt;&lt;/foreign-keys&gt;&lt;ref-type name="Generic"&gt;13&lt;/ref-type&gt;&lt;contributors&gt;&lt;authors&gt;&lt;author&gt;Guo, Y&lt;/author&gt;&lt;author&gt;Zhao, N&lt;/author&gt;&lt;author&gt;Zhang, T&lt;/author&gt;&lt;author&gt;Gong, H&lt;/author&gt;&lt;author&gt;Ma, H&lt;/author&gt;&lt;author&gt;An, T&lt;/author&gt;&lt;author&gt;Zhao, F&lt;/author&gt;&lt;author&gt;Hu, R&lt;/author&gt;&lt;/authors&gt;&lt;/contributors&gt;&lt;titles&gt;&lt;title&gt;Compatibility and thermal decomposition mechanism of nitrocellulose/Cr2O3 nanoparticles studied using DSC and TG-FTIR. RSC Adv 9: 3927–3937&lt;/title&gt;&lt;/titles&gt;&lt;dates&gt;&lt;year&gt;2019&lt;/year&gt;&lt;/dates&gt;&lt;urls&gt;&lt;/urls&gt;&lt;/record&gt;&lt;/Cite&gt;&lt;/EndNote&gt;</w:instrText>
            </w:r>
            <w:r w:rsidRPr="00B50483">
              <w:rPr>
                <w:color w:val="000000" w:themeColor="text1"/>
                <w:highlight w:val="yellow"/>
                <w:lang w:val="en-GB"/>
              </w:rPr>
              <w:fldChar w:fldCharType="separate"/>
            </w:r>
            <w:r w:rsidRPr="00B50483">
              <w:rPr>
                <w:color w:val="000000" w:themeColor="text1"/>
                <w:highlight w:val="yellow"/>
                <w:lang w:val="en-GB"/>
              </w:rPr>
              <w:t>(</w:t>
            </w:r>
            <w:hyperlink w:anchor="_ENREF_11" w:tooltip="Guo, 2019 #144" w:history="1">
              <w:r w:rsidR="00E941E0" w:rsidRPr="00B50483">
                <w:rPr>
                  <w:color w:val="000000" w:themeColor="text1"/>
                  <w:highlight w:val="yellow"/>
                  <w:lang w:val="en-GB"/>
                </w:rPr>
                <w:t>Guo, Zhao, et al. 2019</w:t>
              </w:r>
            </w:hyperlink>
            <w:r w:rsidRPr="00B50483">
              <w:rPr>
                <w:color w:val="000000" w:themeColor="text1"/>
                <w:highlight w:val="yellow"/>
                <w:lang w:val="en-GB"/>
              </w:rPr>
              <w:t>)</w:t>
            </w:r>
            <w:r w:rsidRPr="00B50483">
              <w:rPr>
                <w:color w:val="000000" w:themeColor="text1"/>
                <w:highlight w:val="yellow"/>
                <w:lang w:val="en-GB"/>
              </w:rPr>
              <w:fldChar w:fldCharType="end"/>
            </w:r>
          </w:p>
        </w:tc>
      </w:tr>
      <w:tr w:rsidR="000301DB" w:rsidRPr="00B50483" w14:paraId="4E6E9AE1" w14:textId="77777777" w:rsidTr="00B50483">
        <w:tc>
          <w:tcPr>
            <w:tcW w:w="4248" w:type="dxa"/>
            <w:vAlign w:val="center"/>
          </w:tcPr>
          <w:p w14:paraId="248E0A8C" w14:textId="0158B983" w:rsidR="000301DB" w:rsidRPr="00B50483" w:rsidRDefault="000301DB" w:rsidP="00267C71">
            <w:pPr>
              <w:pStyle w:val="CETBodytext"/>
              <w:rPr>
                <w:color w:val="000000" w:themeColor="text1"/>
                <w:highlight w:val="yellow"/>
                <w:lang w:val="en-GB"/>
              </w:rPr>
            </w:pPr>
            <w:r w:rsidRPr="00B50483">
              <w:rPr>
                <w:color w:val="000000" w:themeColor="text1"/>
                <w:highlight w:val="yellow"/>
                <w:lang w:val="en-GB"/>
              </w:rPr>
              <w:t xml:space="preserve">NC / </w:t>
            </w:r>
            <w:proofErr w:type="spellStart"/>
            <w:r w:rsidRPr="00B50483">
              <w:rPr>
                <w:color w:val="000000" w:themeColor="text1"/>
                <w:highlight w:val="yellow"/>
                <w:lang w:val="en-GB"/>
              </w:rPr>
              <w:t>Cr</w:t>
            </w:r>
            <w:r w:rsidRPr="00B50483">
              <w:rPr>
                <w:rFonts w:ascii="Cambria Math" w:hAnsi="Cambria Math" w:cs="Cambria Math"/>
                <w:color w:val="000000" w:themeColor="text1"/>
                <w:highlight w:val="yellow"/>
                <w:lang w:val="en-GB"/>
              </w:rPr>
              <w:t>₂</w:t>
            </w:r>
            <w:r w:rsidRPr="00B50483">
              <w:rPr>
                <w:color w:val="000000" w:themeColor="text1"/>
                <w:highlight w:val="yellow"/>
                <w:lang w:val="en-GB"/>
              </w:rPr>
              <w:t>O</w:t>
            </w:r>
            <w:proofErr w:type="spellEnd"/>
            <w:r w:rsidRPr="00B50483">
              <w:rPr>
                <w:rFonts w:ascii="Cambria Math" w:hAnsi="Cambria Math" w:cs="Cambria Math"/>
                <w:color w:val="000000" w:themeColor="text1"/>
                <w:highlight w:val="yellow"/>
                <w:lang w:val="en-GB"/>
              </w:rPr>
              <w:t>₃</w:t>
            </w:r>
            <w:r w:rsidRPr="00B50483">
              <w:rPr>
                <w:color w:val="000000" w:themeColor="text1"/>
                <w:highlight w:val="yellow"/>
                <w:lang w:val="en-GB"/>
              </w:rPr>
              <w:t xml:space="preserve"> (chromium oxide nanoparticles)</w:t>
            </w:r>
          </w:p>
        </w:tc>
        <w:tc>
          <w:tcPr>
            <w:tcW w:w="1276" w:type="dxa"/>
            <w:vAlign w:val="center"/>
          </w:tcPr>
          <w:p w14:paraId="78376F94" w14:textId="739559F1" w:rsidR="000301DB" w:rsidRPr="00B50483" w:rsidRDefault="000301DB" w:rsidP="00267C71">
            <w:pPr>
              <w:pStyle w:val="CETBodytext"/>
              <w:rPr>
                <w:color w:val="000000" w:themeColor="text1"/>
                <w:highlight w:val="yellow"/>
                <w:lang w:val="en-GB"/>
              </w:rPr>
            </w:pPr>
            <w:r w:rsidRPr="00B50483">
              <w:rPr>
                <w:color w:val="000000" w:themeColor="text1"/>
                <w:highlight w:val="yellow"/>
                <w:lang w:val="en-GB"/>
              </w:rPr>
              <w:t>184.40</w:t>
            </w:r>
          </w:p>
        </w:tc>
        <w:tc>
          <w:tcPr>
            <w:tcW w:w="3253" w:type="dxa"/>
            <w:vMerge/>
            <w:vAlign w:val="center"/>
          </w:tcPr>
          <w:p w14:paraId="01C06EFD" w14:textId="6312774E" w:rsidR="000301DB" w:rsidRPr="00B50483" w:rsidRDefault="000301DB" w:rsidP="00267C71">
            <w:pPr>
              <w:pStyle w:val="CETBodytext"/>
              <w:rPr>
                <w:color w:val="000000" w:themeColor="text1"/>
                <w:highlight w:val="yellow"/>
                <w:lang w:val="en-GB"/>
              </w:rPr>
            </w:pPr>
          </w:p>
        </w:tc>
      </w:tr>
      <w:tr w:rsidR="000301DB" w:rsidRPr="00B50483" w14:paraId="610C94DA" w14:textId="77777777" w:rsidTr="00B50483">
        <w:tc>
          <w:tcPr>
            <w:tcW w:w="4248" w:type="dxa"/>
            <w:vAlign w:val="center"/>
          </w:tcPr>
          <w:p w14:paraId="043881B6" w14:textId="2E13AEDF" w:rsidR="000301DB" w:rsidRPr="00B50483" w:rsidRDefault="000301DB" w:rsidP="00267C71">
            <w:pPr>
              <w:pStyle w:val="CETBodytext"/>
              <w:rPr>
                <w:color w:val="000000" w:themeColor="text1"/>
                <w:highlight w:val="yellow"/>
                <w:lang w:val="en-GB"/>
              </w:rPr>
            </w:pPr>
            <w:r w:rsidRPr="00B50483">
              <w:rPr>
                <w:color w:val="000000" w:themeColor="text1"/>
                <w:highlight w:val="yellow"/>
                <w:lang w:val="en-GB"/>
              </w:rPr>
              <w:t>Nitrocellulose (NC)</w:t>
            </w:r>
          </w:p>
        </w:tc>
        <w:tc>
          <w:tcPr>
            <w:tcW w:w="1276" w:type="dxa"/>
            <w:vAlign w:val="center"/>
          </w:tcPr>
          <w:p w14:paraId="06D4D0AD" w14:textId="43A86351" w:rsidR="000301DB" w:rsidRPr="00B50483" w:rsidRDefault="000301DB" w:rsidP="00267C71">
            <w:pPr>
              <w:pStyle w:val="CETBodytext"/>
              <w:rPr>
                <w:color w:val="000000" w:themeColor="text1"/>
                <w:highlight w:val="yellow"/>
                <w:lang w:val="en-GB"/>
              </w:rPr>
            </w:pPr>
            <w:r w:rsidRPr="00B50483">
              <w:rPr>
                <w:color w:val="000000" w:themeColor="text1"/>
                <w:highlight w:val="yellow"/>
                <w:lang w:val="en-GB"/>
              </w:rPr>
              <w:t>180</w:t>
            </w:r>
          </w:p>
        </w:tc>
        <w:tc>
          <w:tcPr>
            <w:tcW w:w="3253" w:type="dxa"/>
            <w:vMerge w:val="restart"/>
            <w:vAlign w:val="center"/>
          </w:tcPr>
          <w:p w14:paraId="2D56411C" w14:textId="1B5ABE4B" w:rsidR="000301DB" w:rsidRPr="00B50483" w:rsidRDefault="000301DB" w:rsidP="00E941E0">
            <w:pPr>
              <w:pStyle w:val="CETBodytext"/>
              <w:rPr>
                <w:color w:val="000000" w:themeColor="text1"/>
                <w:highlight w:val="yellow"/>
                <w:lang w:val="en-GB"/>
              </w:rPr>
            </w:pPr>
            <w:proofErr w:type="spellStart"/>
            <w:r w:rsidRPr="00B50483">
              <w:rPr>
                <w:color w:val="000000" w:themeColor="text1"/>
                <w:highlight w:val="yellow"/>
                <w:lang w:val="en-GB"/>
              </w:rPr>
              <w:t>Benhammada</w:t>
            </w:r>
            <w:proofErr w:type="spellEnd"/>
            <w:r w:rsidRPr="00B50483">
              <w:rPr>
                <w:color w:val="000000" w:themeColor="text1"/>
                <w:highlight w:val="yellow"/>
                <w:lang w:val="en-GB"/>
              </w:rPr>
              <w:t xml:space="preserve"> et al. </w:t>
            </w:r>
            <w:r w:rsidRPr="00B50483">
              <w:rPr>
                <w:color w:val="000000" w:themeColor="text1"/>
                <w:highlight w:val="yellow"/>
                <w:lang w:val="en-GB"/>
              </w:rPr>
              <w:fldChar w:fldCharType="begin"/>
            </w:r>
            <w:r w:rsidRPr="00B50483">
              <w:rPr>
                <w:color w:val="000000" w:themeColor="text1"/>
                <w:highlight w:val="yellow"/>
                <w:lang w:val="en-GB"/>
              </w:rPr>
              <w:instrText xml:space="preserve"> ADDIN EN.CITE &lt;EndNote&gt;&lt;Cite&gt;&lt;Author&gt;Benhammada&lt;/Author&gt;&lt;Year&gt;2022&lt;/Year&gt;&lt;RecNum&gt;140&lt;/RecNum&gt;&lt;DisplayText&gt;(Benhammada and Trache 2022)&lt;/DisplayText&gt;&lt;record&gt;&lt;rec-number&gt;140&lt;/rec-number&gt;&lt;foreign-keys&gt;&lt;key app="EN" db-id="sdvpdv0smwr5wzetve1paxxrd52essr05fre"&gt;140&lt;/key&gt;&lt;/foreign-keys&gt;&lt;ref-type name="Journal Article"&gt;17&lt;/ref-type&gt;&lt;contributors&gt;&lt;authors&gt;&lt;author&gt;Benhammada, Abdenacer&lt;/author&gt;&lt;author&gt;Trache, Djalal&lt;/author&gt;&lt;/authors&gt;&lt;/contributors&gt;&lt;titles&gt;&lt;title&gt;Green synthesis of CuO nanoparticles using Malva sylvestris leaf extract with different copper precursors and their effect on nitrocellulose thermal behavior&lt;/title&gt;&lt;secondary-title&gt;Journal of Thermal Analysis and Calorimetry&lt;/secondary-title&gt;&lt;/titles&gt;&lt;pages&gt;1-16&lt;/pages&gt;&lt;volume&gt;147&lt;/volume&gt;&lt;dates&gt;&lt;year&gt;2022&lt;/year&gt;&lt;/dates&gt;&lt;isbn&gt;1388-6150&lt;/isbn&gt;&lt;urls&gt;&lt;/urls&gt;&lt;/record&gt;&lt;/Cite&gt;&lt;/EndNote&gt;</w:instrText>
            </w:r>
            <w:r w:rsidRPr="00B50483">
              <w:rPr>
                <w:color w:val="000000" w:themeColor="text1"/>
                <w:highlight w:val="yellow"/>
                <w:lang w:val="en-GB"/>
              </w:rPr>
              <w:fldChar w:fldCharType="separate"/>
            </w:r>
            <w:r w:rsidRPr="00B50483">
              <w:rPr>
                <w:color w:val="000000" w:themeColor="text1"/>
                <w:highlight w:val="yellow"/>
                <w:lang w:val="en-GB"/>
              </w:rPr>
              <w:t>(</w:t>
            </w:r>
            <w:hyperlink w:anchor="_ENREF_4" w:tooltip="Benhammada, 2022 #140" w:history="1">
              <w:r w:rsidR="00E941E0" w:rsidRPr="00B50483">
                <w:rPr>
                  <w:color w:val="000000" w:themeColor="text1"/>
                  <w:highlight w:val="yellow"/>
                  <w:lang w:val="en-GB"/>
                </w:rPr>
                <w:t>Benhammada and Trache 2022</w:t>
              </w:r>
            </w:hyperlink>
            <w:r w:rsidRPr="00B50483">
              <w:rPr>
                <w:color w:val="000000" w:themeColor="text1"/>
                <w:highlight w:val="yellow"/>
                <w:lang w:val="en-GB"/>
              </w:rPr>
              <w:t>)</w:t>
            </w:r>
            <w:r w:rsidRPr="00B50483">
              <w:rPr>
                <w:color w:val="000000" w:themeColor="text1"/>
                <w:highlight w:val="yellow"/>
                <w:lang w:val="en-GB"/>
              </w:rPr>
              <w:fldChar w:fldCharType="end"/>
            </w:r>
          </w:p>
        </w:tc>
      </w:tr>
      <w:tr w:rsidR="000301DB" w:rsidRPr="00B50483" w14:paraId="668830E3" w14:textId="77777777" w:rsidTr="00B50483">
        <w:tc>
          <w:tcPr>
            <w:tcW w:w="4248" w:type="dxa"/>
            <w:vAlign w:val="center"/>
          </w:tcPr>
          <w:p w14:paraId="3AB76C8D" w14:textId="0C2CE3BB" w:rsidR="000301DB" w:rsidRPr="004F441A" w:rsidRDefault="000301DB" w:rsidP="00267C71">
            <w:pPr>
              <w:pStyle w:val="CETBodytext"/>
              <w:rPr>
                <w:color w:val="000000" w:themeColor="text1"/>
                <w:highlight w:val="yellow"/>
                <w:lang w:val="fr-FR"/>
              </w:rPr>
            </w:pPr>
            <w:r w:rsidRPr="004F441A">
              <w:rPr>
                <w:color w:val="000000" w:themeColor="text1"/>
                <w:highlight w:val="yellow"/>
                <w:lang w:val="fr-FR"/>
              </w:rPr>
              <w:t>NC / CuO (</w:t>
            </w:r>
            <w:proofErr w:type="spellStart"/>
            <w:r w:rsidRPr="004F441A">
              <w:rPr>
                <w:color w:val="000000" w:themeColor="text1"/>
                <w:highlight w:val="yellow"/>
                <w:lang w:val="fr-FR"/>
              </w:rPr>
              <w:t>copper</w:t>
            </w:r>
            <w:proofErr w:type="spellEnd"/>
            <w:r w:rsidRPr="004F441A">
              <w:rPr>
                <w:color w:val="000000" w:themeColor="text1"/>
                <w:highlight w:val="yellow"/>
                <w:lang w:val="fr-FR"/>
              </w:rPr>
              <w:t xml:space="preserve"> </w:t>
            </w:r>
            <w:proofErr w:type="spellStart"/>
            <w:r w:rsidRPr="004F441A">
              <w:rPr>
                <w:color w:val="000000" w:themeColor="text1"/>
                <w:highlight w:val="yellow"/>
                <w:lang w:val="fr-FR"/>
              </w:rPr>
              <w:t>oxide</w:t>
            </w:r>
            <w:proofErr w:type="spellEnd"/>
            <w:r w:rsidRPr="004F441A">
              <w:rPr>
                <w:color w:val="000000" w:themeColor="text1"/>
                <w:highlight w:val="yellow"/>
                <w:lang w:val="fr-FR"/>
              </w:rPr>
              <w:t xml:space="preserve"> </w:t>
            </w:r>
            <w:proofErr w:type="spellStart"/>
            <w:r w:rsidRPr="004F441A">
              <w:rPr>
                <w:color w:val="000000" w:themeColor="text1"/>
                <w:highlight w:val="yellow"/>
                <w:lang w:val="fr-FR"/>
              </w:rPr>
              <w:t>nanoparticles</w:t>
            </w:r>
            <w:proofErr w:type="spellEnd"/>
            <w:r w:rsidRPr="004F441A">
              <w:rPr>
                <w:color w:val="000000" w:themeColor="text1"/>
                <w:highlight w:val="yellow"/>
                <w:lang w:val="fr-FR"/>
              </w:rPr>
              <w:t>)</w:t>
            </w:r>
          </w:p>
        </w:tc>
        <w:tc>
          <w:tcPr>
            <w:tcW w:w="1276" w:type="dxa"/>
            <w:vAlign w:val="center"/>
          </w:tcPr>
          <w:p w14:paraId="29CC32A5" w14:textId="2DF70281" w:rsidR="000301DB" w:rsidRPr="00B50483" w:rsidRDefault="000301DB" w:rsidP="00267C71">
            <w:pPr>
              <w:pStyle w:val="CETBodytext"/>
              <w:rPr>
                <w:color w:val="000000" w:themeColor="text1"/>
                <w:highlight w:val="yellow"/>
                <w:lang w:val="en-GB"/>
              </w:rPr>
            </w:pPr>
            <w:r w:rsidRPr="00B50483">
              <w:rPr>
                <w:color w:val="000000" w:themeColor="text1"/>
                <w:highlight w:val="yellow"/>
                <w:lang w:val="en-GB"/>
              </w:rPr>
              <w:t>170</w:t>
            </w:r>
          </w:p>
        </w:tc>
        <w:tc>
          <w:tcPr>
            <w:tcW w:w="3253" w:type="dxa"/>
            <w:vMerge/>
            <w:vAlign w:val="center"/>
          </w:tcPr>
          <w:p w14:paraId="19BF9A1E" w14:textId="356117A5" w:rsidR="000301DB" w:rsidRPr="00B50483" w:rsidRDefault="000301DB" w:rsidP="00267C71">
            <w:pPr>
              <w:pStyle w:val="CETBodytext"/>
              <w:rPr>
                <w:color w:val="000000" w:themeColor="text1"/>
                <w:highlight w:val="yellow"/>
                <w:lang w:val="en-GB"/>
              </w:rPr>
            </w:pPr>
          </w:p>
        </w:tc>
      </w:tr>
      <w:tr w:rsidR="000301DB" w:rsidRPr="00B50483" w14:paraId="2B091FB2" w14:textId="77777777" w:rsidTr="00B50483">
        <w:tc>
          <w:tcPr>
            <w:tcW w:w="4248" w:type="dxa"/>
            <w:vAlign w:val="center"/>
          </w:tcPr>
          <w:p w14:paraId="11C852F4" w14:textId="6A35DB26" w:rsidR="000301DB" w:rsidRPr="00B50483" w:rsidRDefault="000301DB" w:rsidP="00267C71">
            <w:pPr>
              <w:pStyle w:val="CETBodytext"/>
              <w:rPr>
                <w:color w:val="000000" w:themeColor="text1"/>
                <w:highlight w:val="yellow"/>
                <w:lang w:val="en-GB"/>
              </w:rPr>
            </w:pPr>
            <w:r w:rsidRPr="00B50483">
              <w:rPr>
                <w:color w:val="000000" w:themeColor="text1"/>
                <w:highlight w:val="yellow"/>
                <w:lang w:val="en-GB"/>
              </w:rPr>
              <w:t>Nitrocellulose (NC)</w:t>
            </w:r>
          </w:p>
        </w:tc>
        <w:tc>
          <w:tcPr>
            <w:tcW w:w="1276" w:type="dxa"/>
            <w:vAlign w:val="center"/>
          </w:tcPr>
          <w:p w14:paraId="4D230FFD" w14:textId="7827CDCD" w:rsidR="000301DB" w:rsidRPr="00B50483" w:rsidRDefault="000301DB" w:rsidP="00267C71">
            <w:pPr>
              <w:pStyle w:val="CETBodytext"/>
              <w:rPr>
                <w:color w:val="000000" w:themeColor="text1"/>
                <w:highlight w:val="yellow"/>
                <w:lang w:val="en-GB"/>
              </w:rPr>
            </w:pPr>
            <w:r w:rsidRPr="00B50483">
              <w:rPr>
                <w:color w:val="000000" w:themeColor="text1"/>
                <w:highlight w:val="yellow"/>
                <w:lang w:val="en-GB"/>
              </w:rPr>
              <w:t>118.5</w:t>
            </w:r>
          </w:p>
        </w:tc>
        <w:tc>
          <w:tcPr>
            <w:tcW w:w="3253" w:type="dxa"/>
            <w:vMerge w:val="restart"/>
            <w:vAlign w:val="center"/>
          </w:tcPr>
          <w:p w14:paraId="55294356" w14:textId="602EC41E" w:rsidR="000301DB" w:rsidRPr="00B50483" w:rsidRDefault="000301DB" w:rsidP="00E941E0">
            <w:pPr>
              <w:pStyle w:val="CETBodytext"/>
              <w:rPr>
                <w:color w:val="000000" w:themeColor="text1"/>
                <w:highlight w:val="yellow"/>
                <w:lang w:val="en-GB"/>
              </w:rPr>
            </w:pPr>
            <w:r w:rsidRPr="00B50483">
              <w:rPr>
                <w:color w:val="000000" w:themeColor="text1"/>
                <w:highlight w:val="yellow"/>
                <w:lang w:val="en-GB"/>
              </w:rPr>
              <w:t>Zhao et al.</w:t>
            </w:r>
            <w:r w:rsidRPr="00B50483">
              <w:rPr>
                <w:color w:val="000000" w:themeColor="text1"/>
                <w:highlight w:val="yellow"/>
                <w:lang w:val="en-GB"/>
              </w:rPr>
              <w:fldChar w:fldCharType="begin"/>
            </w:r>
            <w:r w:rsidRPr="00B50483">
              <w:rPr>
                <w:color w:val="000000" w:themeColor="text1"/>
                <w:highlight w:val="yellow"/>
                <w:lang w:val="en-GB"/>
              </w:rPr>
              <w:instrText xml:space="preserve"> ADDIN EN.CITE &lt;EndNote&gt;&lt;Cite&gt;&lt;Author&gt;Zhao&lt;/Author&gt;&lt;Year&gt;2022&lt;/Year&gt;&lt;RecNum&gt;126&lt;/RecNum&gt;&lt;DisplayText&gt;(Zhao, Yu, et al. 2022)&lt;/DisplayText&gt;&lt;record&gt;&lt;rec-number&gt;126&lt;/rec-number&gt;&lt;foreign-keys&gt;&lt;key app="EN" db-id="sdvpdv0smwr5wzetve1paxxrd52essr05fre"&gt;126&lt;/key&gt;&lt;/foreign-keys&gt;&lt;ref-type name="Journal Article"&gt;17&lt;/ref-type&gt;&lt;contributors&gt;&lt;authors&gt;&lt;author&gt;Zhao, Ningning&lt;/author&gt;&lt;author&gt;Yu, Zhong&lt;/author&gt;&lt;author&gt;Wang, Jia&lt;/author&gt;&lt;author&gt;Ma, Haixia&lt;/author&gt;&lt;author&gt;Yao, Ergang&lt;/author&gt;&lt;author&gt;An, Ting&lt;/author&gt;&lt;author&gt;Zhao, Fengqi&lt;/author&gt;&lt;author&gt;Yu, Xiaojiao&lt;/author&gt;&lt;/authors&gt;&lt;/contributors&gt;&lt;titles&gt;&lt;title&gt;Tailor made CuO/ZIF-8 hybrid structure as a potential candidate for thermocatalytic degradation of nitrocellulose&lt;/title&gt;&lt;secondary-title&gt;Thermochimica Acta&lt;/secondary-title&gt;&lt;/titles&gt;&lt;pages&gt;179101&lt;/pages&gt;&lt;volume&gt;707&lt;/volume&gt;&lt;dates&gt;&lt;year&gt;2022&lt;/year&gt;&lt;/dates&gt;&lt;isbn&gt;0040-6031&lt;/isbn&gt;&lt;urls&gt;&lt;/urls&gt;&lt;/record&gt;&lt;/Cite&gt;&lt;/EndNote&gt;</w:instrText>
            </w:r>
            <w:r w:rsidRPr="00B50483">
              <w:rPr>
                <w:color w:val="000000" w:themeColor="text1"/>
                <w:highlight w:val="yellow"/>
                <w:lang w:val="en-GB"/>
              </w:rPr>
              <w:fldChar w:fldCharType="separate"/>
            </w:r>
            <w:r w:rsidRPr="00B50483">
              <w:rPr>
                <w:color w:val="000000" w:themeColor="text1"/>
                <w:highlight w:val="yellow"/>
                <w:lang w:val="en-GB"/>
              </w:rPr>
              <w:t>(</w:t>
            </w:r>
            <w:hyperlink w:anchor="_ENREF_32" w:tooltip="Zhao, 2022 #126" w:history="1">
              <w:r w:rsidR="00E941E0" w:rsidRPr="00B50483">
                <w:rPr>
                  <w:color w:val="000000" w:themeColor="text1"/>
                  <w:highlight w:val="yellow"/>
                  <w:lang w:val="en-GB"/>
                </w:rPr>
                <w:t>Zhao, Yu, et al. 2022</w:t>
              </w:r>
            </w:hyperlink>
            <w:r w:rsidRPr="00B50483">
              <w:rPr>
                <w:color w:val="000000" w:themeColor="text1"/>
                <w:highlight w:val="yellow"/>
                <w:lang w:val="en-GB"/>
              </w:rPr>
              <w:t>)</w:t>
            </w:r>
            <w:r w:rsidRPr="00B50483">
              <w:rPr>
                <w:color w:val="000000" w:themeColor="text1"/>
                <w:highlight w:val="yellow"/>
                <w:lang w:val="en-GB"/>
              </w:rPr>
              <w:fldChar w:fldCharType="end"/>
            </w:r>
          </w:p>
        </w:tc>
      </w:tr>
      <w:tr w:rsidR="000301DB" w:rsidRPr="00B50483" w14:paraId="72548D1C" w14:textId="77777777" w:rsidTr="00B50483">
        <w:tc>
          <w:tcPr>
            <w:tcW w:w="4248" w:type="dxa"/>
            <w:vAlign w:val="center"/>
          </w:tcPr>
          <w:p w14:paraId="1811C742" w14:textId="594A0613" w:rsidR="000301DB" w:rsidRPr="00B50483" w:rsidRDefault="000301DB" w:rsidP="00267C71">
            <w:pPr>
              <w:pStyle w:val="CETBodytext"/>
              <w:rPr>
                <w:color w:val="000000" w:themeColor="text1"/>
                <w:highlight w:val="yellow"/>
                <w:lang w:val="en-GB"/>
              </w:rPr>
            </w:pPr>
            <w:r w:rsidRPr="00B50483">
              <w:rPr>
                <w:color w:val="000000" w:themeColor="text1"/>
                <w:highlight w:val="yellow"/>
                <w:lang w:val="en-GB"/>
              </w:rPr>
              <w:t>copper oxide (CuO) with zinc-based metal-organic frameworks (ZIF-8)</w:t>
            </w:r>
          </w:p>
        </w:tc>
        <w:tc>
          <w:tcPr>
            <w:tcW w:w="1276" w:type="dxa"/>
            <w:vAlign w:val="center"/>
          </w:tcPr>
          <w:p w14:paraId="7D15EF69" w14:textId="2A0F217E" w:rsidR="000301DB" w:rsidRPr="00B50483" w:rsidRDefault="000301DB" w:rsidP="00267C71">
            <w:pPr>
              <w:pStyle w:val="CETBodytext"/>
              <w:rPr>
                <w:color w:val="000000" w:themeColor="text1"/>
                <w:highlight w:val="yellow"/>
                <w:lang w:val="en-GB"/>
              </w:rPr>
            </w:pPr>
            <w:r w:rsidRPr="00B50483">
              <w:rPr>
                <w:color w:val="000000" w:themeColor="text1"/>
                <w:highlight w:val="yellow"/>
                <w:lang w:val="en-GB"/>
              </w:rPr>
              <w:t>108.2</w:t>
            </w:r>
          </w:p>
        </w:tc>
        <w:tc>
          <w:tcPr>
            <w:tcW w:w="3253" w:type="dxa"/>
            <w:vMerge/>
            <w:vAlign w:val="center"/>
          </w:tcPr>
          <w:p w14:paraId="4D8E9770" w14:textId="744EAB45" w:rsidR="000301DB" w:rsidRPr="00B50483" w:rsidRDefault="000301DB" w:rsidP="00267C71">
            <w:pPr>
              <w:pStyle w:val="CETBodytext"/>
              <w:rPr>
                <w:color w:val="000000" w:themeColor="text1"/>
                <w:highlight w:val="yellow"/>
                <w:lang w:val="en-GB"/>
              </w:rPr>
            </w:pPr>
          </w:p>
        </w:tc>
      </w:tr>
      <w:tr w:rsidR="000301DB" w:rsidRPr="00B50483" w14:paraId="6A879D6E" w14:textId="77777777" w:rsidTr="00B50483">
        <w:tc>
          <w:tcPr>
            <w:tcW w:w="4248" w:type="dxa"/>
            <w:vAlign w:val="center"/>
          </w:tcPr>
          <w:p w14:paraId="2B75FEF4" w14:textId="0694EE72" w:rsidR="000301DB" w:rsidRPr="00B50483" w:rsidRDefault="000301DB" w:rsidP="00267C71">
            <w:pPr>
              <w:pStyle w:val="CETBodytext"/>
              <w:rPr>
                <w:color w:val="000000" w:themeColor="text1"/>
                <w:highlight w:val="yellow"/>
                <w:lang w:val="en-GB"/>
              </w:rPr>
            </w:pPr>
            <w:r w:rsidRPr="00B50483">
              <w:rPr>
                <w:color w:val="000000" w:themeColor="text1"/>
                <w:highlight w:val="yellow"/>
                <w:lang w:val="en-GB"/>
              </w:rPr>
              <w:t>Nitrocellulose (NC)</w:t>
            </w:r>
          </w:p>
        </w:tc>
        <w:tc>
          <w:tcPr>
            <w:tcW w:w="1276" w:type="dxa"/>
            <w:vAlign w:val="center"/>
          </w:tcPr>
          <w:p w14:paraId="68C28EE9" w14:textId="2184A788" w:rsidR="000301DB" w:rsidRPr="00B50483" w:rsidRDefault="000301DB" w:rsidP="00267C71">
            <w:pPr>
              <w:pStyle w:val="CETBodytext"/>
              <w:rPr>
                <w:color w:val="000000" w:themeColor="text1"/>
                <w:highlight w:val="yellow"/>
                <w:lang w:val="en-GB"/>
              </w:rPr>
            </w:pPr>
            <w:r w:rsidRPr="00B50483">
              <w:rPr>
                <w:color w:val="000000" w:themeColor="text1"/>
                <w:highlight w:val="yellow"/>
                <w:lang w:val="en-GB"/>
              </w:rPr>
              <w:t>207.48</w:t>
            </w:r>
          </w:p>
        </w:tc>
        <w:tc>
          <w:tcPr>
            <w:tcW w:w="3253" w:type="dxa"/>
            <w:vMerge w:val="restart"/>
            <w:vAlign w:val="center"/>
          </w:tcPr>
          <w:p w14:paraId="0AF16A4C" w14:textId="7A11D84D" w:rsidR="000301DB" w:rsidRPr="00B50483" w:rsidRDefault="000301DB" w:rsidP="00E941E0">
            <w:pPr>
              <w:pStyle w:val="CETBodytext"/>
              <w:rPr>
                <w:color w:val="000000" w:themeColor="text1"/>
                <w:highlight w:val="yellow"/>
                <w:lang w:val="en-GB"/>
              </w:rPr>
            </w:pPr>
            <w:r w:rsidRPr="00B50483">
              <w:rPr>
                <w:color w:val="000000" w:themeColor="text1"/>
                <w:highlight w:val="yellow"/>
                <w:lang w:val="en-GB"/>
              </w:rPr>
              <w:t xml:space="preserve"> Zhao</w:t>
            </w:r>
            <w:r w:rsidRPr="00B50483">
              <w:rPr>
                <w:color w:val="000000" w:themeColor="text1"/>
                <w:highlight w:val="yellow"/>
                <w:lang w:val="en-GB"/>
              </w:rPr>
              <w:fldChar w:fldCharType="begin"/>
            </w:r>
            <w:r w:rsidRPr="00B50483">
              <w:rPr>
                <w:color w:val="000000" w:themeColor="text1"/>
                <w:highlight w:val="yellow"/>
                <w:lang w:val="en-GB"/>
              </w:rPr>
              <w:instrText xml:space="preserve"> ADDIN EN.CITE &lt;EndNote&gt;&lt;Cite&gt;&lt;Author&gt;Zhao&lt;/Author&gt;&lt;Year&gt;2016&lt;/Year&gt;&lt;RecNum&gt;188&lt;/RecNum&gt;&lt;DisplayText&gt;(Zhao, Li, et al. 2016)&lt;/DisplayText&gt;&lt;record&gt;&lt;rec-number&gt;188&lt;/rec-number&gt;&lt;foreign-keys&gt;&lt;key app="EN" db-id="sdvpdv0smwr5wzetve1paxxrd52essr05fre"&gt;188&lt;/key&gt;&lt;/foreign-keys&gt;&lt;ref-type name="Journal Article"&gt;17&lt;/ref-type&gt;&lt;contributors&gt;&lt;authors&gt;&lt;author&gt;Zhao, Ningning&lt;/author&gt;&lt;author&gt;Li, Jiachen&lt;/author&gt;&lt;author&gt;Gong, Hujun&lt;/author&gt;&lt;author&gt;An, Ting&lt;/author&gt;&lt;author&gt;Zhao, Fengqi&lt;/author&gt;&lt;author&gt;Yang, Aiwu&lt;/author&gt;&lt;author&gt;Hu, Rongzu&lt;/author&gt;&lt;author&gt;Ma, Haixia&lt;/author&gt;&lt;/authors&gt;&lt;/contributors&gt;&lt;titles&gt;&lt;title&gt;Effects of α-Fe2O3 nanoparticles on the thermal behavior and non-isothermal decomposition kinetics of nitrocellulose&lt;/title&gt;&lt;secondary-title&gt;Journal of analytical and applied pyrolysis&lt;/secondary-title&gt;&lt;/titles&gt;&lt;pages&gt;165-173&lt;/pages&gt;&lt;volume&gt;120&lt;/volume&gt;&lt;dates&gt;&lt;year&gt;2016&lt;/year&gt;&lt;/dates&gt;&lt;isbn&gt;0165-2370&lt;/isbn&gt;&lt;urls&gt;&lt;/urls&gt;&lt;/record&gt;&lt;/Cite&gt;&lt;/EndNote&gt;</w:instrText>
            </w:r>
            <w:r w:rsidRPr="00B50483">
              <w:rPr>
                <w:color w:val="000000" w:themeColor="text1"/>
                <w:highlight w:val="yellow"/>
                <w:lang w:val="en-GB"/>
              </w:rPr>
              <w:fldChar w:fldCharType="separate"/>
            </w:r>
            <w:r w:rsidRPr="00B50483">
              <w:rPr>
                <w:color w:val="000000" w:themeColor="text1"/>
                <w:highlight w:val="yellow"/>
                <w:lang w:val="en-GB"/>
              </w:rPr>
              <w:t>(</w:t>
            </w:r>
            <w:hyperlink w:anchor="_ENREF_31" w:tooltip="Zhao, 2016 #188" w:history="1">
              <w:r w:rsidR="00E941E0" w:rsidRPr="00B50483">
                <w:rPr>
                  <w:color w:val="000000" w:themeColor="text1"/>
                  <w:highlight w:val="yellow"/>
                  <w:lang w:val="en-GB"/>
                </w:rPr>
                <w:t>Zhao, Li, et al. 2016</w:t>
              </w:r>
            </w:hyperlink>
            <w:r w:rsidRPr="00B50483">
              <w:rPr>
                <w:color w:val="000000" w:themeColor="text1"/>
                <w:highlight w:val="yellow"/>
                <w:lang w:val="en-GB"/>
              </w:rPr>
              <w:t>)</w:t>
            </w:r>
            <w:r w:rsidRPr="00B50483">
              <w:rPr>
                <w:color w:val="000000" w:themeColor="text1"/>
                <w:highlight w:val="yellow"/>
                <w:lang w:val="en-GB"/>
              </w:rPr>
              <w:fldChar w:fldCharType="end"/>
            </w:r>
          </w:p>
        </w:tc>
      </w:tr>
      <w:tr w:rsidR="000301DB" w:rsidRPr="00B50483" w14:paraId="5124D396" w14:textId="77777777" w:rsidTr="00B50483">
        <w:tc>
          <w:tcPr>
            <w:tcW w:w="4248" w:type="dxa"/>
            <w:vAlign w:val="center"/>
          </w:tcPr>
          <w:p w14:paraId="3F6AE348" w14:textId="398A8B9B" w:rsidR="000301DB" w:rsidRPr="00B50483" w:rsidRDefault="000301DB" w:rsidP="00267C71">
            <w:pPr>
              <w:pStyle w:val="CETBodytext"/>
              <w:rPr>
                <w:color w:val="000000" w:themeColor="text1"/>
                <w:highlight w:val="yellow"/>
                <w:lang w:val="en-GB"/>
              </w:rPr>
            </w:pPr>
            <w:r w:rsidRPr="00B50483">
              <w:rPr>
                <w:color w:val="000000" w:themeColor="text1"/>
                <w:highlight w:val="yellow"/>
                <w:lang w:val="en-GB"/>
              </w:rPr>
              <w:t>NC / α-</w:t>
            </w:r>
            <w:proofErr w:type="spellStart"/>
            <w:r w:rsidRPr="00B50483">
              <w:rPr>
                <w:color w:val="000000" w:themeColor="text1"/>
                <w:highlight w:val="yellow"/>
                <w:lang w:val="en-GB"/>
              </w:rPr>
              <w:t>Fe</w:t>
            </w:r>
            <w:r w:rsidRPr="00B50483">
              <w:rPr>
                <w:rFonts w:ascii="Cambria Math" w:hAnsi="Cambria Math" w:cs="Cambria Math"/>
                <w:color w:val="000000" w:themeColor="text1"/>
                <w:highlight w:val="yellow"/>
                <w:lang w:val="en-GB"/>
              </w:rPr>
              <w:t>₂</w:t>
            </w:r>
            <w:r w:rsidRPr="00B50483">
              <w:rPr>
                <w:color w:val="000000" w:themeColor="text1"/>
                <w:highlight w:val="yellow"/>
                <w:lang w:val="en-GB"/>
              </w:rPr>
              <w:t>O</w:t>
            </w:r>
            <w:proofErr w:type="spellEnd"/>
            <w:r w:rsidRPr="00B50483">
              <w:rPr>
                <w:rFonts w:ascii="Cambria Math" w:hAnsi="Cambria Math" w:cs="Cambria Math"/>
                <w:color w:val="000000" w:themeColor="text1"/>
                <w:highlight w:val="yellow"/>
                <w:lang w:val="en-GB"/>
              </w:rPr>
              <w:t>₃</w:t>
            </w:r>
          </w:p>
        </w:tc>
        <w:tc>
          <w:tcPr>
            <w:tcW w:w="1276" w:type="dxa"/>
            <w:vAlign w:val="center"/>
          </w:tcPr>
          <w:p w14:paraId="029E0F03" w14:textId="791BCE31" w:rsidR="000301DB" w:rsidRPr="00B50483" w:rsidRDefault="000301DB" w:rsidP="00267C71">
            <w:pPr>
              <w:pStyle w:val="CETBodytext"/>
              <w:rPr>
                <w:color w:val="000000" w:themeColor="text1"/>
                <w:highlight w:val="yellow"/>
                <w:lang w:val="en-GB"/>
              </w:rPr>
            </w:pPr>
            <w:r w:rsidRPr="00B50483">
              <w:rPr>
                <w:color w:val="000000" w:themeColor="text1"/>
                <w:highlight w:val="yellow"/>
                <w:lang w:val="en-GB"/>
              </w:rPr>
              <w:t>192.11</w:t>
            </w:r>
          </w:p>
        </w:tc>
        <w:tc>
          <w:tcPr>
            <w:tcW w:w="3253" w:type="dxa"/>
            <w:vMerge/>
            <w:vAlign w:val="center"/>
          </w:tcPr>
          <w:p w14:paraId="04B28F01" w14:textId="35B8DDFC" w:rsidR="000301DB" w:rsidRPr="00B50483" w:rsidRDefault="000301DB" w:rsidP="00267C71">
            <w:pPr>
              <w:pStyle w:val="CETBodytext"/>
              <w:rPr>
                <w:color w:val="000000" w:themeColor="text1"/>
                <w:highlight w:val="yellow"/>
                <w:lang w:val="en-GB"/>
              </w:rPr>
            </w:pPr>
          </w:p>
        </w:tc>
      </w:tr>
      <w:tr w:rsidR="000301DB" w:rsidRPr="00B50483" w14:paraId="177552CA" w14:textId="77777777" w:rsidTr="00B50483">
        <w:tc>
          <w:tcPr>
            <w:tcW w:w="4248" w:type="dxa"/>
            <w:vAlign w:val="center"/>
          </w:tcPr>
          <w:p w14:paraId="49DC9051" w14:textId="0840A39D" w:rsidR="000301DB" w:rsidRPr="00B50483" w:rsidRDefault="000301DB" w:rsidP="00267C71">
            <w:pPr>
              <w:pStyle w:val="CETBodytext"/>
              <w:rPr>
                <w:color w:val="000000" w:themeColor="text1"/>
                <w:highlight w:val="yellow"/>
                <w:lang w:val="en-GB"/>
              </w:rPr>
            </w:pPr>
            <w:r w:rsidRPr="00B50483">
              <w:rPr>
                <w:color w:val="000000" w:themeColor="text1"/>
                <w:highlight w:val="yellow"/>
                <w:lang w:val="en-GB"/>
              </w:rPr>
              <w:t>Nitrocellulose (NC)</w:t>
            </w:r>
          </w:p>
        </w:tc>
        <w:tc>
          <w:tcPr>
            <w:tcW w:w="1276" w:type="dxa"/>
            <w:vAlign w:val="center"/>
          </w:tcPr>
          <w:p w14:paraId="2D9959EE" w14:textId="3AC21A13" w:rsidR="000301DB" w:rsidRPr="00B50483" w:rsidRDefault="000301DB" w:rsidP="00267C71">
            <w:pPr>
              <w:pStyle w:val="CETBodytext"/>
              <w:rPr>
                <w:color w:val="000000" w:themeColor="text1"/>
                <w:highlight w:val="yellow"/>
                <w:lang w:val="en-GB"/>
              </w:rPr>
            </w:pPr>
            <w:r w:rsidRPr="00B50483">
              <w:rPr>
                <w:color w:val="000000" w:themeColor="text1"/>
                <w:highlight w:val="yellow"/>
                <w:lang w:val="en-GB"/>
              </w:rPr>
              <w:t>170</w:t>
            </w:r>
          </w:p>
        </w:tc>
        <w:tc>
          <w:tcPr>
            <w:tcW w:w="3253" w:type="dxa"/>
            <w:vMerge w:val="restart"/>
            <w:vAlign w:val="center"/>
          </w:tcPr>
          <w:p w14:paraId="6F1BC584" w14:textId="2A80AAA0" w:rsidR="000301DB" w:rsidRPr="00B50483" w:rsidRDefault="000301DB" w:rsidP="00E941E0">
            <w:pPr>
              <w:pStyle w:val="CETBodytext"/>
              <w:rPr>
                <w:color w:val="000000" w:themeColor="text1"/>
                <w:highlight w:val="yellow"/>
                <w:lang w:val="en-GB"/>
              </w:rPr>
            </w:pPr>
            <w:proofErr w:type="spellStart"/>
            <w:r w:rsidRPr="00B50483">
              <w:rPr>
                <w:color w:val="000000" w:themeColor="text1"/>
                <w:highlight w:val="yellow"/>
                <w:lang w:val="en-GB"/>
              </w:rPr>
              <w:t>Benhammada</w:t>
            </w:r>
            <w:proofErr w:type="spellEnd"/>
            <w:r w:rsidRPr="00B50483">
              <w:rPr>
                <w:color w:val="000000" w:themeColor="text1"/>
                <w:highlight w:val="yellow"/>
                <w:lang w:val="en-GB"/>
              </w:rPr>
              <w:t xml:space="preserve"> et al.</w:t>
            </w:r>
            <w:r w:rsidRPr="00B50483">
              <w:rPr>
                <w:color w:val="000000" w:themeColor="text1"/>
                <w:highlight w:val="yellow"/>
                <w:lang w:val="en-GB"/>
              </w:rPr>
              <w:fldChar w:fldCharType="begin"/>
            </w:r>
            <w:r w:rsidRPr="00B50483">
              <w:rPr>
                <w:color w:val="000000" w:themeColor="text1"/>
                <w:highlight w:val="yellow"/>
                <w:lang w:val="en-GB"/>
              </w:rPr>
              <w:instrText xml:space="preserve"> ADDIN EN.CITE &lt;EndNote&gt;&lt;Cite&gt;&lt;Author&gt;Benhammada&lt;/Author&gt;&lt;Year&gt;2023&lt;/Year&gt;&lt;RecNum&gt;32&lt;/RecNum&gt;&lt;DisplayText&gt;(Benhammada, Trache, et al. 2023)&lt;/DisplayText&gt;&lt;record&gt;&lt;rec-number&gt;32&lt;/rec-number&gt;&lt;foreign-keys&gt;&lt;key app="EN" db-id="sdvpdv0smwr5wzetve1paxxrd52essr05fre"&gt;32&lt;/key&gt;&lt;/foreign-keys&gt;&lt;ref-type name="Journal Article"&gt;17&lt;/ref-type&gt;&lt;contributors&gt;&lt;authors&gt;&lt;author&gt;Benhammada, Abdenacer&lt;/author&gt;&lt;author&gt;Trache, Djalal&lt;/author&gt;&lt;author&gt;Chelouche, Salim&lt;/author&gt;&lt;/authors&gt;&lt;/contributors&gt;&lt;titles&gt;&lt;title&gt;Catalytic effect investigation of α-Fe2O3 and α-Fe2O3-CMS nanocomposites on the thermal behavior of NC/DEGDN mixture: DSC measurements and kinetic modeling&lt;/title&gt;&lt;secondary-title&gt;Journal of the Indian Chemical Society&lt;/secondary-title&gt;&lt;/titles&gt;&lt;pages&gt;100838&lt;/pages&gt;&lt;volume&gt;100&lt;/volume&gt;&lt;number&gt;1&lt;/number&gt;&lt;dates&gt;&lt;year&gt;2023&lt;/year&gt;&lt;/dates&gt;&lt;isbn&gt;0019-4522&lt;/isbn&gt;&lt;urls&gt;&lt;/urls&gt;&lt;electronic-resource-num&gt;https://doi.org/10.1016/j.jics.2022.100838&lt;/electronic-resource-num&gt;&lt;/record&gt;&lt;/Cite&gt;&lt;/EndNote&gt;</w:instrText>
            </w:r>
            <w:r w:rsidRPr="00B50483">
              <w:rPr>
                <w:color w:val="000000" w:themeColor="text1"/>
                <w:highlight w:val="yellow"/>
                <w:lang w:val="en-GB"/>
              </w:rPr>
              <w:fldChar w:fldCharType="separate"/>
            </w:r>
            <w:r w:rsidRPr="00B50483">
              <w:rPr>
                <w:color w:val="000000" w:themeColor="text1"/>
                <w:highlight w:val="yellow"/>
                <w:lang w:val="en-GB"/>
              </w:rPr>
              <w:t>(</w:t>
            </w:r>
            <w:hyperlink w:anchor="_ENREF_5" w:tooltip="Benhammada, 2023 #32" w:history="1">
              <w:r w:rsidR="00E941E0" w:rsidRPr="00B50483">
                <w:rPr>
                  <w:color w:val="000000" w:themeColor="text1"/>
                  <w:highlight w:val="yellow"/>
                  <w:lang w:val="en-GB"/>
                </w:rPr>
                <w:t>Benhammada, Trache, et al. 2023</w:t>
              </w:r>
            </w:hyperlink>
            <w:r w:rsidRPr="00B50483">
              <w:rPr>
                <w:color w:val="000000" w:themeColor="text1"/>
                <w:highlight w:val="yellow"/>
                <w:lang w:val="en-GB"/>
              </w:rPr>
              <w:t>)</w:t>
            </w:r>
            <w:r w:rsidRPr="00B50483">
              <w:rPr>
                <w:color w:val="000000" w:themeColor="text1"/>
                <w:highlight w:val="yellow"/>
                <w:lang w:val="en-GB"/>
              </w:rPr>
              <w:fldChar w:fldCharType="end"/>
            </w:r>
          </w:p>
        </w:tc>
      </w:tr>
      <w:tr w:rsidR="000301DB" w:rsidRPr="00B50483" w14:paraId="7C64D860" w14:textId="77777777" w:rsidTr="00B50483">
        <w:tc>
          <w:tcPr>
            <w:tcW w:w="4248" w:type="dxa"/>
            <w:vAlign w:val="center"/>
          </w:tcPr>
          <w:p w14:paraId="59D71790" w14:textId="0D30B1B8" w:rsidR="000301DB" w:rsidRPr="00B50483" w:rsidRDefault="000301DB" w:rsidP="00267C71">
            <w:pPr>
              <w:pStyle w:val="CETBodytext"/>
              <w:rPr>
                <w:color w:val="000000" w:themeColor="text1"/>
                <w:highlight w:val="yellow"/>
                <w:lang w:val="en-GB"/>
              </w:rPr>
            </w:pPr>
            <w:r w:rsidRPr="00B50483">
              <w:rPr>
                <w:color w:val="000000" w:themeColor="text1"/>
                <w:highlight w:val="yellow"/>
                <w:lang w:val="en-GB"/>
              </w:rPr>
              <w:t>NC / α-</w:t>
            </w:r>
            <w:proofErr w:type="spellStart"/>
            <w:r w:rsidRPr="00B50483">
              <w:rPr>
                <w:color w:val="000000" w:themeColor="text1"/>
                <w:highlight w:val="yellow"/>
                <w:lang w:val="en-GB"/>
              </w:rPr>
              <w:t>Fe</w:t>
            </w:r>
            <w:r w:rsidRPr="00B50483">
              <w:rPr>
                <w:rFonts w:ascii="Cambria Math" w:hAnsi="Cambria Math" w:cs="Cambria Math"/>
                <w:color w:val="000000" w:themeColor="text1"/>
                <w:highlight w:val="yellow"/>
                <w:lang w:val="en-GB"/>
              </w:rPr>
              <w:t>₂</w:t>
            </w:r>
            <w:r w:rsidRPr="00B50483">
              <w:rPr>
                <w:color w:val="000000" w:themeColor="text1"/>
                <w:highlight w:val="yellow"/>
                <w:lang w:val="en-GB"/>
              </w:rPr>
              <w:t>O</w:t>
            </w:r>
            <w:proofErr w:type="spellEnd"/>
            <w:r w:rsidRPr="00B50483">
              <w:rPr>
                <w:rFonts w:ascii="Cambria Math" w:hAnsi="Cambria Math" w:cs="Cambria Math"/>
                <w:color w:val="000000" w:themeColor="text1"/>
                <w:highlight w:val="yellow"/>
                <w:lang w:val="en-GB"/>
              </w:rPr>
              <w:t>₃</w:t>
            </w:r>
            <w:r w:rsidRPr="00B50483">
              <w:rPr>
                <w:color w:val="000000" w:themeColor="text1"/>
                <w:highlight w:val="yellow"/>
                <w:lang w:val="en-GB"/>
              </w:rPr>
              <w:t>-CMS (hematite supported on carbon mesospheres)</w:t>
            </w:r>
          </w:p>
        </w:tc>
        <w:tc>
          <w:tcPr>
            <w:tcW w:w="1276" w:type="dxa"/>
            <w:vAlign w:val="center"/>
          </w:tcPr>
          <w:p w14:paraId="2BAFC495" w14:textId="436F1083" w:rsidR="000301DB" w:rsidRPr="00B50483" w:rsidRDefault="000301DB" w:rsidP="00267C71">
            <w:pPr>
              <w:pStyle w:val="CETBodytext"/>
              <w:rPr>
                <w:color w:val="000000" w:themeColor="text1"/>
                <w:highlight w:val="yellow"/>
                <w:lang w:val="en-GB"/>
              </w:rPr>
            </w:pPr>
            <w:r w:rsidRPr="00B50483">
              <w:rPr>
                <w:color w:val="000000" w:themeColor="text1"/>
                <w:highlight w:val="yellow"/>
                <w:lang w:val="en-GB"/>
              </w:rPr>
              <w:t>160</w:t>
            </w:r>
          </w:p>
        </w:tc>
        <w:tc>
          <w:tcPr>
            <w:tcW w:w="3253" w:type="dxa"/>
            <w:vMerge/>
            <w:vAlign w:val="center"/>
          </w:tcPr>
          <w:p w14:paraId="11156232" w14:textId="3BDE8B4B" w:rsidR="000301DB" w:rsidRPr="00B50483" w:rsidRDefault="000301DB" w:rsidP="00267C71">
            <w:pPr>
              <w:pStyle w:val="CETBodytext"/>
              <w:rPr>
                <w:color w:val="000000" w:themeColor="text1"/>
                <w:highlight w:val="yellow"/>
              </w:rPr>
            </w:pPr>
          </w:p>
        </w:tc>
      </w:tr>
    </w:tbl>
    <w:p w14:paraId="256EB1A8" w14:textId="3248E88F" w:rsidR="00F11C0C" w:rsidRPr="00E51A4E" w:rsidRDefault="00582D35" w:rsidP="00E941E0">
      <w:pPr>
        <w:pStyle w:val="CETBodytext"/>
        <w:spacing w:before="240"/>
        <w:rPr>
          <w:color w:val="000000" w:themeColor="text1"/>
        </w:rPr>
      </w:pPr>
      <w:r w:rsidRPr="00582D35">
        <w:rPr>
          <w:color w:val="000000" w:themeColor="text1"/>
          <w:highlight w:val="yellow"/>
        </w:rPr>
        <w:t xml:space="preserve">This enhancement arises from a synergistic effect between CoO, which acts as an active site for decomposition, and activated carbon, which optimizes reaction kinetics through improved dispersion and adsorption properties. CoO facilitates the cleavage of nitrate ester bonds, thereby accelerating the thermal decomposition of </w:t>
      </w:r>
      <w:r w:rsidRPr="00582D35">
        <w:rPr>
          <w:color w:val="000000" w:themeColor="text1"/>
          <w:highlight w:val="yellow"/>
          <w:lang w:val="en-GB"/>
        </w:rPr>
        <w:t>nitrocellulose-based materials</w:t>
      </w:r>
      <w:r w:rsidRPr="00582D35">
        <w:rPr>
          <w:color w:val="000000" w:themeColor="text1"/>
          <w:highlight w:val="yellow"/>
        </w:rPr>
        <w:t>.</w:t>
      </w:r>
      <w:r>
        <w:rPr>
          <w:color w:val="000000" w:themeColor="text1"/>
          <w:highlight w:val="yellow"/>
        </w:rPr>
        <w:t xml:space="preserve"> </w:t>
      </w:r>
      <w:r w:rsidRPr="00582D35">
        <w:rPr>
          <w:color w:val="000000" w:themeColor="text1"/>
          <w:highlight w:val="yellow"/>
        </w:rPr>
        <w:t>Activated carbon plays a crucial role in this catalytic system due to its highly porous structure and large surface area, which promote uniform dispersion of CoO particles and enhance contact with NC molecules. Additionally, AC facilitates the adsorption of NOx gases, key intermediates in the decomposition reaction, preventing their premature release and maintaining catalytic activity. This controlled reaction environment results in a more efficient and sustained decomposition process</w:t>
      </w:r>
      <w:r w:rsidR="001947FB" w:rsidRPr="00A00E1D">
        <w:rPr>
          <w:color w:val="000000" w:themeColor="text1"/>
          <w:highlight w:val="yellow"/>
          <w:lang w:val="en-GB"/>
        </w:rPr>
        <w:t>.</w:t>
      </w:r>
      <w:r w:rsidR="00F11C0C" w:rsidRPr="00E51A4E">
        <w:rPr>
          <w:color w:val="000000" w:themeColor="text1"/>
          <w:lang w:val="en-GB"/>
        </w:rPr>
        <w:t>These findings align with the research conducted by Li et a</w:t>
      </w:r>
      <w:r w:rsidR="00E51A4E">
        <w:rPr>
          <w:color w:val="000000" w:themeColor="text1"/>
          <w:lang w:val="en-GB"/>
        </w:rPr>
        <w:t>.</w:t>
      </w:r>
      <w:r w:rsidR="00E51A4E">
        <w:rPr>
          <w:color w:val="000000" w:themeColor="text1"/>
          <w:lang w:val="en-GB"/>
        </w:rPr>
        <w:fldChar w:fldCharType="begin"/>
      </w:r>
      <w:r w:rsidR="00E51A4E">
        <w:rPr>
          <w:color w:val="000000" w:themeColor="text1"/>
          <w:lang w:val="en-GB"/>
        </w:rPr>
        <w:instrText xml:space="preserve"> ADDIN EN.CITE &lt;EndNote&gt;&lt;Cite&gt;&lt;Author&gt;Li&lt;/Author&gt;&lt;Year&gt;2023&lt;/Year&gt;&lt;RecNum&gt;185&lt;/RecNum&gt;&lt;DisplayText&gt;(Li, Li, et al. 2023)&lt;/DisplayText&gt;&lt;record&gt;&lt;rec-number&gt;185&lt;/rec-number&gt;&lt;foreign-keys&gt;&lt;key app="EN" db-id="sdvpdv0smwr5wzetve1paxxrd52essr05fre"&gt;185&lt;/key&gt;&lt;/foreign-keys&gt;&lt;ref-type name="Journal Article"&gt;17&lt;/ref-type&gt;&lt;contributors&gt;&lt;authors&gt;&lt;author&gt;Li, Rui&lt;/author&gt;&lt;author&gt;Li, Xiaodong&lt;/author&gt;&lt;author&gt;Yang, Guangcheng&lt;/author&gt;&lt;author&gt;Guo, Changping&lt;/author&gt;&lt;author&gt;Zhang, Liqing&lt;/author&gt;&lt;author&gt;Hao, Chenchun&lt;/author&gt;&lt;author&gt;Zhu, Wenkun&lt;/author&gt;&lt;/authors&gt;&lt;/contributors&gt;&lt;titles&gt;&lt;title&gt;Defective-activated-carbon-encapsulated Co as a super reactive catalyst for combustion of ammonium perchlorate&lt;/title&gt;&lt;secondary-title&gt;Applied Surface Science&lt;/secondary-title&gt;&lt;/titles&gt;&lt;pages&gt;156349&lt;/pages&gt;&lt;volume&gt;615&lt;/volume&gt;&lt;dates&gt;&lt;year&gt;2023&lt;/year&gt;&lt;/dates&gt;&lt;isbn&gt;0169-4332&lt;/isbn&gt;&lt;urls&gt;&lt;/urls&gt;&lt;/record&gt;&lt;/Cite&gt;&lt;/EndNote&gt;</w:instrText>
      </w:r>
      <w:r w:rsidR="00E51A4E">
        <w:rPr>
          <w:color w:val="000000" w:themeColor="text1"/>
          <w:lang w:val="en-GB"/>
        </w:rPr>
        <w:fldChar w:fldCharType="separate"/>
      </w:r>
      <w:r w:rsidR="00E51A4E">
        <w:rPr>
          <w:noProof/>
          <w:color w:val="000000" w:themeColor="text1"/>
          <w:lang w:val="en-GB"/>
        </w:rPr>
        <w:t>(</w:t>
      </w:r>
      <w:hyperlink w:anchor="_ENREF_15" w:tooltip="Li, 2023 #185" w:history="1">
        <w:r w:rsidR="00E941E0">
          <w:rPr>
            <w:noProof/>
            <w:color w:val="000000" w:themeColor="text1"/>
            <w:lang w:val="en-GB"/>
          </w:rPr>
          <w:t>Li, Li, et al. 2023</w:t>
        </w:r>
      </w:hyperlink>
      <w:r w:rsidR="00E51A4E">
        <w:rPr>
          <w:noProof/>
          <w:color w:val="000000" w:themeColor="text1"/>
          <w:lang w:val="en-GB"/>
        </w:rPr>
        <w:t>)</w:t>
      </w:r>
      <w:r w:rsidR="00E51A4E">
        <w:rPr>
          <w:color w:val="000000" w:themeColor="text1"/>
          <w:lang w:val="en-GB"/>
        </w:rPr>
        <w:fldChar w:fldCharType="end"/>
      </w:r>
      <w:r w:rsidR="00A00E1D">
        <w:rPr>
          <w:color w:val="000000" w:themeColor="text1"/>
          <w:lang w:val="en-GB"/>
        </w:rPr>
        <w:t>,</w:t>
      </w:r>
      <w:r w:rsidR="00B92526" w:rsidRPr="00E51A4E">
        <w:rPr>
          <w:color w:val="000000" w:themeColor="text1"/>
        </w:rPr>
        <w:t xml:space="preserve"> </w:t>
      </w:r>
      <w:r w:rsidR="00E51A4E" w:rsidRPr="00E51A4E">
        <w:rPr>
          <w:color w:val="000000" w:themeColor="text1"/>
          <w:lang w:val="en-GB"/>
        </w:rPr>
        <w:t xml:space="preserve">which examined the catalytic efficiency of defective activated carbon-encapsulated cobalt (DAC-Co) on the decomposition of ammonium perchlorate (AP). Their research demonstrated that the synergistic effect between Co nanoparticles and DAC significantly enhanced catalytic activity, reducing the activation energy of AP from 271.8 kJ/mol to 137.7 kJ/mol and 130.7 kJ/mol with DAC and DAC-Co catalysts, respectively. </w:t>
      </w:r>
      <w:r w:rsidR="00E51A4E" w:rsidRPr="00582D35">
        <w:rPr>
          <w:color w:val="000000" w:themeColor="text1"/>
          <w:highlight w:val="yellow"/>
          <w:lang w:val="en-GB"/>
        </w:rPr>
        <w:t>This parallel reinforces the importance of carbon-based supports in optimizing the catalytic efficiency of metal oxides in energetic materials.</w:t>
      </w:r>
    </w:p>
    <w:p w14:paraId="1E883EB7" w14:textId="7F0AE843" w:rsidR="00104571" w:rsidRPr="00B57B36" w:rsidRDefault="00104571" w:rsidP="00F11C0C">
      <w:pPr>
        <w:pStyle w:val="CETHeading1"/>
        <w:rPr>
          <w:lang w:val="en-GB"/>
        </w:rPr>
      </w:pPr>
      <w:r>
        <w:rPr>
          <w:lang w:val="en-GB"/>
        </w:rPr>
        <w:t>Conclusion</w:t>
      </w:r>
    </w:p>
    <w:p w14:paraId="6F2CA379" w14:textId="4A3FFB54" w:rsidR="00104571" w:rsidRDefault="00637D37" w:rsidP="00960945">
      <w:pPr>
        <w:pStyle w:val="CETBodytext"/>
      </w:pPr>
      <w:r>
        <w:t xml:space="preserve">This study investigated the catalytic effects of cobalt oxide (CoO) </w:t>
      </w:r>
      <w:r w:rsidR="00960945">
        <w:t>supported</w:t>
      </w:r>
      <w:r>
        <w:t xml:space="preserve"> onto activated carbon (AC) on the thermal decomposition of nitrocellulose (NC). Through FTIR, XRD, and </w:t>
      </w:r>
      <w:r w:rsidR="00103131" w:rsidRPr="009238F2">
        <w:t>Adsorption desorption isotherms</w:t>
      </w:r>
      <w:r>
        <w:t xml:space="preserve"> analyses, we confirmed the successful grafting of CoO onto AC. DSC analysis revealed that the presence of CoO and AC-CoO significantly affected the thermal decomposition of NC,</w:t>
      </w:r>
      <w:r w:rsidR="00C51BCF">
        <w:t xml:space="preserve"> and</w:t>
      </w:r>
      <w:r>
        <w:t xml:space="preserve"> reducing the peak decomposition temperature. Kinetic studies showed that the activation energy (</w:t>
      </w:r>
      <w:proofErr w:type="spellStart"/>
      <w:r w:rsidRPr="00F84D97">
        <w:rPr>
          <w:i/>
          <w:iCs/>
        </w:rPr>
        <w:t>E</w:t>
      </w:r>
      <w:r>
        <w:t>a</w:t>
      </w:r>
      <w:proofErr w:type="spellEnd"/>
      <w:r>
        <w:t xml:space="preserve">) of the NC composites decreased with the addition of CoO, and further reduction was observed when CoO was </w:t>
      </w:r>
      <w:r w:rsidR="00F84D97">
        <w:t>supported</w:t>
      </w:r>
      <w:r>
        <w:t xml:space="preserve"> onto AC, indicating the catalytic enhancement provided by the support material. The results highlight the potential of AC-CoO composites in improving the thermal decomposition behavior of NC, offering a promising approach for enhancing the performance of nitrocellulose-based energetic materials. These findings open avenues for future research aimed at optimizing catalytic strategies to improve the combustion properties of energetic materials.</w:t>
      </w:r>
    </w:p>
    <w:p w14:paraId="09750398" w14:textId="77777777" w:rsidR="00A15F64" w:rsidRDefault="00637D37" w:rsidP="00AA6A30">
      <w:pPr>
        <w:pStyle w:val="CETReference"/>
      </w:pPr>
      <w:r>
        <w:lastRenderedPageBreak/>
        <w:t xml:space="preserve">References </w:t>
      </w:r>
    </w:p>
    <w:p w14:paraId="581CEA20" w14:textId="77777777" w:rsidR="00E941E0" w:rsidRPr="00E941E0" w:rsidRDefault="00622BED" w:rsidP="00E941E0">
      <w:pPr>
        <w:pStyle w:val="CETReferencetext"/>
        <w:spacing w:line="240" w:lineRule="auto"/>
        <w:ind w:left="0" w:firstLine="0"/>
        <w:rPr>
          <w:rFonts w:cs="Arial"/>
          <w:noProof/>
          <w:sz w:val="20"/>
        </w:rPr>
      </w:pPr>
      <w:r w:rsidRPr="00F2643E">
        <w:fldChar w:fldCharType="begin"/>
      </w:r>
      <w:r w:rsidRPr="00F2643E">
        <w:instrText xml:space="preserve"> ADDIN EN.REFLIST </w:instrText>
      </w:r>
      <w:r w:rsidRPr="00F2643E">
        <w:fldChar w:fldCharType="separate"/>
      </w:r>
      <w:bookmarkStart w:id="1" w:name="_ENREF_1"/>
      <w:r w:rsidR="00E941E0" w:rsidRPr="00E941E0">
        <w:rPr>
          <w:rFonts w:cs="Arial"/>
          <w:noProof/>
          <w:sz w:val="20"/>
        </w:rPr>
        <w:t xml:space="preserve">An K, Somorjai GA. 2012. Size and shape control of metal nanoparticles for reaction selectivity in catalysis. </w:t>
      </w:r>
      <w:r w:rsidR="00E941E0" w:rsidRPr="00E941E0">
        <w:rPr>
          <w:rFonts w:cs="Arial"/>
          <w:i/>
          <w:noProof/>
          <w:sz w:val="20"/>
        </w:rPr>
        <w:t>ChemCatChem</w:t>
      </w:r>
      <w:r w:rsidR="00E941E0" w:rsidRPr="00E941E0">
        <w:rPr>
          <w:rFonts w:cs="Arial"/>
          <w:noProof/>
          <w:sz w:val="20"/>
        </w:rPr>
        <w:t>, 4: 1512-1524.</w:t>
      </w:r>
      <w:bookmarkEnd w:id="1"/>
    </w:p>
    <w:p w14:paraId="270CCE1E" w14:textId="77777777" w:rsidR="00E941E0" w:rsidRPr="00E941E0" w:rsidRDefault="00E941E0" w:rsidP="00E941E0">
      <w:pPr>
        <w:pStyle w:val="CETReferencetext"/>
        <w:spacing w:line="240" w:lineRule="auto"/>
        <w:ind w:left="0" w:firstLine="0"/>
        <w:rPr>
          <w:rFonts w:cs="Arial"/>
          <w:noProof/>
          <w:sz w:val="20"/>
        </w:rPr>
      </w:pPr>
      <w:bookmarkStart w:id="2" w:name="_ENREF_2"/>
      <w:r w:rsidRPr="00E941E0">
        <w:rPr>
          <w:rFonts w:cs="Arial"/>
          <w:noProof/>
          <w:sz w:val="20"/>
        </w:rPr>
        <w:t xml:space="preserve">Arshad MA, Maaroufi A-K. 2014. An innovative reaction model determination methodology in solid state kinetics based on variable activation energy. </w:t>
      </w:r>
      <w:r w:rsidRPr="00E941E0">
        <w:rPr>
          <w:rFonts w:cs="Arial"/>
          <w:i/>
          <w:noProof/>
          <w:sz w:val="20"/>
        </w:rPr>
        <w:t>Thermochimica Acta</w:t>
      </w:r>
      <w:r w:rsidRPr="00E941E0">
        <w:rPr>
          <w:rFonts w:cs="Arial"/>
          <w:noProof/>
          <w:sz w:val="20"/>
        </w:rPr>
        <w:t>, 585: 25-35.</w:t>
      </w:r>
      <w:bookmarkEnd w:id="2"/>
    </w:p>
    <w:p w14:paraId="5742E434" w14:textId="77777777" w:rsidR="00E941E0" w:rsidRPr="00E941E0" w:rsidRDefault="00E941E0" w:rsidP="00E941E0">
      <w:pPr>
        <w:pStyle w:val="CETReferencetext"/>
        <w:spacing w:line="240" w:lineRule="auto"/>
        <w:ind w:left="0" w:firstLine="0"/>
        <w:rPr>
          <w:rFonts w:cs="Arial"/>
          <w:noProof/>
          <w:sz w:val="20"/>
        </w:rPr>
      </w:pPr>
      <w:bookmarkStart w:id="3" w:name="_ENREF_3"/>
      <w:r w:rsidRPr="00E941E0">
        <w:rPr>
          <w:rFonts w:cs="Arial"/>
          <w:noProof/>
          <w:sz w:val="20"/>
        </w:rPr>
        <w:t xml:space="preserve">Atamanov M, Yelemessova Z, Imangazy A, Kamunur K, Lesbayev B, Mansurov Z, Yue T, Shen R, Yan Q-L. 2019. The catalytic effect of CuO-doped activated carbon on thermal decomposition and combustion of AN/Mg/NC composite. </w:t>
      </w:r>
      <w:r w:rsidRPr="00E941E0">
        <w:rPr>
          <w:rFonts w:cs="Arial"/>
          <w:i/>
          <w:noProof/>
          <w:sz w:val="20"/>
        </w:rPr>
        <w:t>The Journal of Physical Chemistry C</w:t>
      </w:r>
      <w:r w:rsidRPr="00E941E0">
        <w:rPr>
          <w:rFonts w:cs="Arial"/>
          <w:noProof/>
          <w:sz w:val="20"/>
        </w:rPr>
        <w:t>, 123: 22941-22948.</w:t>
      </w:r>
      <w:bookmarkEnd w:id="3"/>
    </w:p>
    <w:p w14:paraId="064A9D59" w14:textId="77777777" w:rsidR="00E941E0" w:rsidRPr="00E941E0" w:rsidRDefault="00E941E0" w:rsidP="00E941E0">
      <w:pPr>
        <w:pStyle w:val="CETReferencetext"/>
        <w:spacing w:line="240" w:lineRule="auto"/>
        <w:ind w:left="0" w:firstLine="0"/>
        <w:rPr>
          <w:rFonts w:cs="Arial"/>
          <w:noProof/>
          <w:sz w:val="20"/>
        </w:rPr>
      </w:pPr>
      <w:bookmarkStart w:id="4" w:name="_ENREF_4"/>
      <w:r w:rsidRPr="00E941E0">
        <w:rPr>
          <w:rFonts w:cs="Arial"/>
          <w:noProof/>
          <w:sz w:val="20"/>
        </w:rPr>
        <w:t xml:space="preserve">Benhammada A, Trache D. 2022. Green synthesis of CuO nanoparticles using Malva sylvestris leaf extract with different copper precursors and their effect on nitrocellulose thermal behavior. </w:t>
      </w:r>
      <w:r w:rsidRPr="00E941E0">
        <w:rPr>
          <w:rFonts w:cs="Arial"/>
          <w:i/>
          <w:noProof/>
          <w:sz w:val="20"/>
        </w:rPr>
        <w:t>Journal of Thermal Analysis and Calorimetry</w:t>
      </w:r>
      <w:r w:rsidRPr="00E941E0">
        <w:rPr>
          <w:rFonts w:cs="Arial"/>
          <w:noProof/>
          <w:sz w:val="20"/>
        </w:rPr>
        <w:t>, 147: 1-16.</w:t>
      </w:r>
      <w:bookmarkEnd w:id="4"/>
    </w:p>
    <w:p w14:paraId="6C085090" w14:textId="77777777" w:rsidR="00E941E0" w:rsidRPr="00E941E0" w:rsidRDefault="00E941E0" w:rsidP="00E941E0">
      <w:pPr>
        <w:pStyle w:val="CETReferencetext"/>
        <w:spacing w:line="240" w:lineRule="auto"/>
        <w:ind w:left="0" w:firstLine="0"/>
        <w:rPr>
          <w:rFonts w:cs="Arial"/>
          <w:noProof/>
          <w:sz w:val="20"/>
        </w:rPr>
      </w:pPr>
      <w:bookmarkStart w:id="5" w:name="_ENREF_5"/>
      <w:r w:rsidRPr="00E941E0">
        <w:rPr>
          <w:rFonts w:cs="Arial"/>
          <w:noProof/>
          <w:sz w:val="20"/>
        </w:rPr>
        <w:t xml:space="preserve">Benhammada A, Trache D, Chelouche S. 2023. Catalytic effect investigation of α-Fe2O3 and α-Fe2O3-CMS nanocomposites on the thermal behavior of NC/DEGDN mixture: DSC measurements and kinetic modeling. </w:t>
      </w:r>
      <w:r w:rsidRPr="00E941E0">
        <w:rPr>
          <w:rFonts w:cs="Arial"/>
          <w:i/>
          <w:noProof/>
          <w:sz w:val="20"/>
        </w:rPr>
        <w:t>Journal of the Indian Chemical Society</w:t>
      </w:r>
      <w:r w:rsidRPr="00E941E0">
        <w:rPr>
          <w:rFonts w:cs="Arial"/>
          <w:noProof/>
          <w:sz w:val="20"/>
        </w:rPr>
        <w:t>, 100: 100838.</w:t>
      </w:r>
      <w:bookmarkEnd w:id="5"/>
    </w:p>
    <w:p w14:paraId="3D423915" w14:textId="77777777" w:rsidR="00E941E0" w:rsidRPr="00E941E0" w:rsidRDefault="00E941E0" w:rsidP="00E941E0">
      <w:pPr>
        <w:pStyle w:val="CETReferencetext"/>
        <w:spacing w:line="240" w:lineRule="auto"/>
        <w:ind w:left="0" w:firstLine="0"/>
        <w:rPr>
          <w:rFonts w:cs="Arial"/>
          <w:noProof/>
          <w:sz w:val="20"/>
        </w:rPr>
      </w:pPr>
      <w:bookmarkStart w:id="6" w:name="_ENREF_6"/>
      <w:r w:rsidRPr="00E941E0">
        <w:rPr>
          <w:rFonts w:cs="Arial"/>
          <w:noProof/>
          <w:sz w:val="20"/>
        </w:rPr>
        <w:t xml:space="preserve">binti Samsuri A, binti Jamal SH, binti Rusly SNA, binti Ariff H. 2024. Key attributes of nitrocellulose-based energetic materials and recent developments. </w:t>
      </w:r>
      <w:r w:rsidRPr="00E941E0">
        <w:rPr>
          <w:rFonts w:cs="Arial"/>
          <w:i/>
          <w:noProof/>
          <w:sz w:val="20"/>
        </w:rPr>
        <w:t>Heliyon</w:t>
      </w:r>
      <w:r w:rsidRPr="00E941E0">
        <w:rPr>
          <w:rFonts w:cs="Arial"/>
          <w:noProof/>
          <w:sz w:val="20"/>
        </w:rPr>
        <w:t>.</w:t>
      </w:r>
      <w:bookmarkEnd w:id="6"/>
    </w:p>
    <w:p w14:paraId="58720ACF" w14:textId="77777777" w:rsidR="00E941E0" w:rsidRPr="00E941E0" w:rsidRDefault="00E941E0" w:rsidP="00E941E0">
      <w:pPr>
        <w:pStyle w:val="CETReferencetext"/>
        <w:spacing w:line="240" w:lineRule="auto"/>
        <w:ind w:left="0" w:firstLine="0"/>
        <w:rPr>
          <w:rFonts w:cs="Arial"/>
          <w:noProof/>
          <w:sz w:val="20"/>
        </w:rPr>
      </w:pPr>
      <w:bookmarkStart w:id="7" w:name="_ENREF_7"/>
      <w:r w:rsidRPr="00E941E0">
        <w:rPr>
          <w:rFonts w:cs="Arial"/>
          <w:noProof/>
          <w:sz w:val="20"/>
        </w:rPr>
        <w:t xml:space="preserve">Bouriche R, Tazibet S, Boutillara Y, Melouki R, Benaliouche F, Boucheffa Y. 2021. Characterization of titanium (IV) oxide nanoparticles loaded onto activated carbon for the adsorption of nitrogen oxides produced from the degradation of nitrocellulose. </w:t>
      </w:r>
      <w:r w:rsidRPr="00E941E0">
        <w:rPr>
          <w:rFonts w:cs="Arial"/>
          <w:i/>
          <w:noProof/>
          <w:sz w:val="20"/>
        </w:rPr>
        <w:t>Analytical Letters</w:t>
      </w:r>
      <w:r w:rsidRPr="00E941E0">
        <w:rPr>
          <w:rFonts w:cs="Arial"/>
          <w:noProof/>
          <w:sz w:val="20"/>
        </w:rPr>
        <w:t>, 54: 1929-1942.</w:t>
      </w:r>
      <w:bookmarkEnd w:id="7"/>
    </w:p>
    <w:p w14:paraId="1806B728" w14:textId="77777777" w:rsidR="00E941E0" w:rsidRPr="00E941E0" w:rsidRDefault="00E941E0" w:rsidP="00E941E0">
      <w:pPr>
        <w:pStyle w:val="CETReferencetext"/>
        <w:spacing w:line="240" w:lineRule="auto"/>
        <w:ind w:left="0" w:firstLine="0"/>
        <w:rPr>
          <w:rFonts w:cs="Arial"/>
          <w:noProof/>
          <w:sz w:val="20"/>
        </w:rPr>
      </w:pPr>
      <w:bookmarkStart w:id="8" w:name="_ENREF_8"/>
      <w:r w:rsidRPr="00E941E0">
        <w:rPr>
          <w:rFonts w:cs="Arial"/>
          <w:noProof/>
          <w:sz w:val="20"/>
        </w:rPr>
        <w:t xml:space="preserve">Cuenya BR. 2010. Synthesis and catalytic properties of metal nanoparticles: Size, shape, support, composition, and oxidation state effects. </w:t>
      </w:r>
      <w:r w:rsidRPr="00E941E0">
        <w:rPr>
          <w:rFonts w:cs="Arial"/>
          <w:i/>
          <w:noProof/>
          <w:sz w:val="20"/>
        </w:rPr>
        <w:t>Thin Solid Films</w:t>
      </w:r>
      <w:r w:rsidRPr="00E941E0">
        <w:rPr>
          <w:rFonts w:cs="Arial"/>
          <w:noProof/>
          <w:sz w:val="20"/>
        </w:rPr>
        <w:t>, 518: 3127-3150.</w:t>
      </w:r>
      <w:bookmarkEnd w:id="8"/>
    </w:p>
    <w:p w14:paraId="5B8444E9" w14:textId="77777777" w:rsidR="00E941E0" w:rsidRPr="00E941E0" w:rsidRDefault="00E941E0" w:rsidP="00E941E0">
      <w:pPr>
        <w:pStyle w:val="CETReferencetext"/>
        <w:spacing w:line="240" w:lineRule="auto"/>
        <w:ind w:left="0" w:firstLine="0"/>
        <w:rPr>
          <w:rFonts w:cs="Arial"/>
          <w:noProof/>
          <w:sz w:val="20"/>
        </w:rPr>
      </w:pPr>
      <w:bookmarkStart w:id="9" w:name="_ENREF_9"/>
      <w:r w:rsidRPr="00E941E0">
        <w:rPr>
          <w:rFonts w:cs="Arial"/>
          <w:noProof/>
          <w:sz w:val="20"/>
        </w:rPr>
        <w:t xml:space="preserve">Danish M, Hashim R, Ibrahim MM, Sulaiman O. 2013. Effect of acidic activating agents on surface area and surface functional groups of activated carbons produced from Acacia mangium wood. </w:t>
      </w:r>
      <w:r w:rsidRPr="00E941E0">
        <w:rPr>
          <w:rFonts w:cs="Arial"/>
          <w:i/>
          <w:noProof/>
          <w:sz w:val="20"/>
        </w:rPr>
        <w:t>Journal of Analytical and Applied Pyrolysis</w:t>
      </w:r>
      <w:r w:rsidRPr="00E941E0">
        <w:rPr>
          <w:rFonts w:cs="Arial"/>
          <w:noProof/>
          <w:sz w:val="20"/>
        </w:rPr>
        <w:t>, 104: 418-425.</w:t>
      </w:r>
      <w:bookmarkEnd w:id="9"/>
    </w:p>
    <w:p w14:paraId="0B7BC277" w14:textId="77777777" w:rsidR="00E941E0" w:rsidRPr="00E941E0" w:rsidRDefault="00E941E0" w:rsidP="00E941E0">
      <w:pPr>
        <w:pStyle w:val="CETReferencetext"/>
        <w:spacing w:line="240" w:lineRule="auto"/>
        <w:ind w:left="0" w:firstLine="0"/>
        <w:rPr>
          <w:rFonts w:cs="Arial"/>
          <w:noProof/>
          <w:sz w:val="20"/>
        </w:rPr>
      </w:pPr>
      <w:bookmarkStart w:id="10" w:name="_ENREF_10"/>
      <w:r w:rsidRPr="00E941E0">
        <w:rPr>
          <w:rFonts w:cs="Arial"/>
          <w:noProof/>
          <w:sz w:val="20"/>
        </w:rPr>
        <w:t xml:space="preserve">Garces LJ, Hincapie B, Zerger R, Suib SL. 2015. The effect of temperature and support on the reduction of cobalt oxide: an in situ X-ray diffraction study. </w:t>
      </w:r>
      <w:r w:rsidRPr="00E941E0">
        <w:rPr>
          <w:rFonts w:cs="Arial"/>
          <w:i/>
          <w:noProof/>
          <w:sz w:val="20"/>
        </w:rPr>
        <w:t>The Journal of Physical Chemistry C</w:t>
      </w:r>
      <w:r w:rsidRPr="00E941E0">
        <w:rPr>
          <w:rFonts w:cs="Arial"/>
          <w:noProof/>
          <w:sz w:val="20"/>
        </w:rPr>
        <w:t>, 119: 5484-5490.</w:t>
      </w:r>
      <w:bookmarkEnd w:id="10"/>
    </w:p>
    <w:p w14:paraId="35C8F20A" w14:textId="77777777" w:rsidR="00E941E0" w:rsidRPr="00E941E0" w:rsidRDefault="00E941E0" w:rsidP="00E941E0">
      <w:pPr>
        <w:pStyle w:val="CETReferencetext"/>
        <w:spacing w:line="240" w:lineRule="auto"/>
        <w:ind w:left="0" w:firstLine="0"/>
        <w:rPr>
          <w:rFonts w:cs="Arial"/>
          <w:noProof/>
          <w:sz w:val="20"/>
        </w:rPr>
      </w:pPr>
      <w:bookmarkStart w:id="11" w:name="_ENREF_11"/>
      <w:r w:rsidRPr="00E941E0">
        <w:rPr>
          <w:rFonts w:cs="Arial"/>
          <w:noProof/>
          <w:sz w:val="20"/>
        </w:rPr>
        <w:t>Guo Y, Zhao N, Zhang T, Gong H, Ma H, An T, Zhao F, Hu R 2019. Compatibility and thermal decomposition mechanism of nitrocellulose/Cr2O3 nanoparticles studied using DSC and TG-FTIR. RSC Adv 9: 3927–3937.</w:t>
      </w:r>
      <w:bookmarkEnd w:id="11"/>
    </w:p>
    <w:p w14:paraId="781B2B34" w14:textId="77777777" w:rsidR="00E941E0" w:rsidRPr="00E941E0" w:rsidRDefault="00E941E0" w:rsidP="00E941E0">
      <w:pPr>
        <w:pStyle w:val="CETReferencetext"/>
        <w:spacing w:line="240" w:lineRule="auto"/>
        <w:ind w:left="0" w:firstLine="0"/>
        <w:rPr>
          <w:rFonts w:cs="Arial"/>
          <w:noProof/>
          <w:sz w:val="20"/>
        </w:rPr>
      </w:pPr>
      <w:bookmarkStart w:id="12" w:name="_ENREF_12"/>
      <w:r w:rsidRPr="00E941E0">
        <w:rPr>
          <w:rFonts w:cs="Arial"/>
          <w:noProof/>
          <w:sz w:val="20"/>
        </w:rPr>
        <w:t xml:space="preserve">Iwanow M, Gärtner T, Sieber V, König B. 2020. Activated carbon as catalyst support: precursors, preparation, modification and characterization. </w:t>
      </w:r>
      <w:r w:rsidRPr="00E941E0">
        <w:rPr>
          <w:rFonts w:cs="Arial"/>
          <w:i/>
          <w:noProof/>
          <w:sz w:val="20"/>
        </w:rPr>
        <w:t>Beilstein Journal of Organic Chemistry</w:t>
      </w:r>
      <w:r w:rsidRPr="00E941E0">
        <w:rPr>
          <w:rFonts w:cs="Arial"/>
          <w:noProof/>
          <w:sz w:val="20"/>
        </w:rPr>
        <w:t>, 16: 1188-1202.</w:t>
      </w:r>
      <w:bookmarkEnd w:id="12"/>
    </w:p>
    <w:p w14:paraId="78C58D2F" w14:textId="77777777" w:rsidR="00E941E0" w:rsidRPr="00E941E0" w:rsidRDefault="00E941E0" w:rsidP="00E941E0">
      <w:pPr>
        <w:pStyle w:val="CETReferencetext"/>
        <w:spacing w:line="240" w:lineRule="auto"/>
        <w:ind w:left="0" w:firstLine="0"/>
        <w:rPr>
          <w:rFonts w:cs="Arial"/>
          <w:noProof/>
          <w:sz w:val="20"/>
        </w:rPr>
      </w:pPr>
      <w:bookmarkStart w:id="13" w:name="_ENREF_13"/>
      <w:r w:rsidRPr="00E941E0">
        <w:rPr>
          <w:rFonts w:cs="Arial"/>
          <w:noProof/>
          <w:sz w:val="20"/>
        </w:rPr>
        <w:t xml:space="preserve">Kissinger HE. 1957. Reaction kinetics in differential thermal analysis. </w:t>
      </w:r>
      <w:r w:rsidRPr="00E941E0">
        <w:rPr>
          <w:rFonts w:cs="Arial"/>
          <w:i/>
          <w:noProof/>
          <w:sz w:val="20"/>
        </w:rPr>
        <w:t>Analytical chemistry</w:t>
      </w:r>
      <w:r w:rsidRPr="00E941E0">
        <w:rPr>
          <w:rFonts w:cs="Arial"/>
          <w:noProof/>
          <w:sz w:val="20"/>
        </w:rPr>
        <w:t>, 29: 1702-1706.</w:t>
      </w:r>
      <w:bookmarkEnd w:id="13"/>
    </w:p>
    <w:p w14:paraId="0D39BF99" w14:textId="77777777" w:rsidR="00E941E0" w:rsidRPr="00E941E0" w:rsidRDefault="00E941E0" w:rsidP="00E941E0">
      <w:pPr>
        <w:pStyle w:val="CETReferencetext"/>
        <w:spacing w:line="240" w:lineRule="auto"/>
        <w:ind w:left="0" w:firstLine="0"/>
        <w:rPr>
          <w:rFonts w:cs="Arial"/>
          <w:noProof/>
          <w:sz w:val="20"/>
        </w:rPr>
      </w:pPr>
      <w:bookmarkStart w:id="14" w:name="_ENREF_14"/>
      <w:r w:rsidRPr="00E941E0">
        <w:rPr>
          <w:rFonts w:cs="Arial"/>
          <w:noProof/>
          <w:sz w:val="20"/>
        </w:rPr>
        <w:t xml:space="preserve">Koga N, Vyazovkin S, Burnham AK, Favergeon L, Muravyev NV, Perez-Maqueda LA, Saggese C, Sánchez-Jiménez PE. 2022. ICTAC Kinetics Committee recommendations for analysis of thermal decomposition kinetics. </w:t>
      </w:r>
      <w:r w:rsidRPr="00E941E0">
        <w:rPr>
          <w:rFonts w:cs="Arial"/>
          <w:i/>
          <w:noProof/>
          <w:sz w:val="20"/>
        </w:rPr>
        <w:t>Thermochimica Acta</w:t>
      </w:r>
      <w:r w:rsidRPr="00E941E0">
        <w:rPr>
          <w:rFonts w:cs="Arial"/>
          <w:noProof/>
          <w:sz w:val="20"/>
        </w:rPr>
        <w:t>: 179384.</w:t>
      </w:r>
      <w:bookmarkEnd w:id="14"/>
    </w:p>
    <w:p w14:paraId="55CC17CE" w14:textId="77777777" w:rsidR="00E941E0" w:rsidRPr="00E941E0" w:rsidRDefault="00E941E0" w:rsidP="00E941E0">
      <w:pPr>
        <w:pStyle w:val="CETReferencetext"/>
        <w:spacing w:line="240" w:lineRule="auto"/>
        <w:ind w:left="0" w:firstLine="0"/>
        <w:rPr>
          <w:rFonts w:cs="Arial"/>
          <w:noProof/>
          <w:sz w:val="20"/>
        </w:rPr>
      </w:pPr>
      <w:bookmarkStart w:id="15" w:name="_ENREF_15"/>
      <w:r w:rsidRPr="00E941E0">
        <w:rPr>
          <w:rFonts w:cs="Arial"/>
          <w:noProof/>
          <w:sz w:val="20"/>
        </w:rPr>
        <w:t xml:space="preserve">Li R, Li X, Yang G, Guo C, Zhang L, Hao C, Zhu W. 2023. Defective-activated-carbon-encapsulated Co as a super reactive catalyst for combustion of ammonium perchlorate. </w:t>
      </w:r>
      <w:r w:rsidRPr="00E941E0">
        <w:rPr>
          <w:rFonts w:cs="Arial"/>
          <w:i/>
          <w:noProof/>
          <w:sz w:val="20"/>
        </w:rPr>
        <w:t>Applied Surface Science</w:t>
      </w:r>
      <w:r w:rsidRPr="00E941E0">
        <w:rPr>
          <w:rFonts w:cs="Arial"/>
          <w:noProof/>
          <w:sz w:val="20"/>
        </w:rPr>
        <w:t>, 615: 156349.</w:t>
      </w:r>
      <w:bookmarkEnd w:id="15"/>
    </w:p>
    <w:p w14:paraId="2C71AFEC" w14:textId="77777777" w:rsidR="00E941E0" w:rsidRPr="00E941E0" w:rsidRDefault="00E941E0" w:rsidP="00E941E0">
      <w:pPr>
        <w:pStyle w:val="CETReferencetext"/>
        <w:spacing w:line="240" w:lineRule="auto"/>
        <w:ind w:left="0" w:firstLine="0"/>
        <w:rPr>
          <w:rFonts w:cs="Arial"/>
          <w:noProof/>
          <w:sz w:val="20"/>
        </w:rPr>
      </w:pPr>
      <w:bookmarkStart w:id="16" w:name="_ENREF_16"/>
      <w:r w:rsidRPr="00E941E0">
        <w:rPr>
          <w:rFonts w:cs="Arial"/>
          <w:noProof/>
          <w:sz w:val="20"/>
        </w:rPr>
        <w:t xml:space="preserve">Michalchuk AA, Hemingway J, Morrison CA. 2021. Predicting the impact sensitivities of energetic materials through zone-center phonon up-pumping. </w:t>
      </w:r>
      <w:r w:rsidRPr="00E941E0">
        <w:rPr>
          <w:rFonts w:cs="Arial"/>
          <w:i/>
          <w:noProof/>
          <w:sz w:val="20"/>
        </w:rPr>
        <w:t>The Journal of Chemical Physics</w:t>
      </w:r>
      <w:r w:rsidRPr="00E941E0">
        <w:rPr>
          <w:rFonts w:cs="Arial"/>
          <w:noProof/>
          <w:sz w:val="20"/>
        </w:rPr>
        <w:t>, 154.</w:t>
      </w:r>
      <w:bookmarkEnd w:id="16"/>
    </w:p>
    <w:p w14:paraId="4E35788F" w14:textId="77777777" w:rsidR="00E941E0" w:rsidRPr="00E941E0" w:rsidRDefault="00E941E0" w:rsidP="00E941E0">
      <w:pPr>
        <w:pStyle w:val="CETReferencetext"/>
        <w:spacing w:line="240" w:lineRule="auto"/>
        <w:ind w:left="0" w:firstLine="0"/>
        <w:rPr>
          <w:rFonts w:cs="Arial"/>
          <w:noProof/>
          <w:sz w:val="20"/>
        </w:rPr>
      </w:pPr>
      <w:bookmarkStart w:id="17" w:name="_ENREF_17"/>
      <w:r w:rsidRPr="00E941E0">
        <w:rPr>
          <w:rFonts w:cs="Arial"/>
          <w:noProof/>
          <w:sz w:val="20"/>
        </w:rPr>
        <w:t xml:space="preserve">Mirzajani V, Farhadi K, Pourmortazavi SM. 2018. Catalytic effect of lead oxide nano-and microparticles on thermal decomposition kinetics of energetic compositions containing TEGDN/NC/DAG. </w:t>
      </w:r>
      <w:r w:rsidRPr="00E941E0">
        <w:rPr>
          <w:rFonts w:cs="Arial"/>
          <w:i/>
          <w:noProof/>
          <w:sz w:val="20"/>
        </w:rPr>
        <w:t>Journal of Thermal Analysis and Calorimetry</w:t>
      </w:r>
      <w:r w:rsidRPr="00E941E0">
        <w:rPr>
          <w:rFonts w:cs="Arial"/>
          <w:noProof/>
          <w:sz w:val="20"/>
        </w:rPr>
        <w:t>, 131: 937-948.</w:t>
      </w:r>
      <w:bookmarkEnd w:id="17"/>
    </w:p>
    <w:p w14:paraId="3CFFFBC2" w14:textId="77777777" w:rsidR="00E941E0" w:rsidRPr="00E941E0" w:rsidRDefault="00E941E0" w:rsidP="00E941E0">
      <w:pPr>
        <w:pStyle w:val="CETReferencetext"/>
        <w:spacing w:line="240" w:lineRule="auto"/>
        <w:ind w:left="0" w:firstLine="0"/>
        <w:rPr>
          <w:rFonts w:cs="Arial"/>
          <w:noProof/>
          <w:sz w:val="20"/>
        </w:rPr>
      </w:pPr>
      <w:bookmarkStart w:id="18" w:name="_ENREF_18"/>
      <w:r w:rsidRPr="00E941E0">
        <w:rPr>
          <w:rFonts w:cs="Arial"/>
          <w:noProof/>
          <w:sz w:val="20"/>
        </w:rPr>
        <w:t xml:space="preserve">Mu J, Shao C, Guo Z, Zhang Z, Zhang M, Zhang P, Chen B, Liu Y. 2011. High photocatalytic activity of ZnO− carbon nanofiber heteroarchitectures. </w:t>
      </w:r>
      <w:r w:rsidRPr="00E941E0">
        <w:rPr>
          <w:rFonts w:cs="Arial"/>
          <w:i/>
          <w:noProof/>
          <w:sz w:val="20"/>
        </w:rPr>
        <w:t>ACS applied materials &amp; interfaces</w:t>
      </w:r>
      <w:r w:rsidRPr="00E941E0">
        <w:rPr>
          <w:rFonts w:cs="Arial"/>
          <w:noProof/>
          <w:sz w:val="20"/>
        </w:rPr>
        <w:t>, 3: 590-596.</w:t>
      </w:r>
      <w:bookmarkEnd w:id="18"/>
    </w:p>
    <w:p w14:paraId="1D200DB6" w14:textId="77777777" w:rsidR="00E941E0" w:rsidRPr="00E941E0" w:rsidRDefault="00E941E0" w:rsidP="00E941E0">
      <w:pPr>
        <w:pStyle w:val="CETReferencetext"/>
        <w:spacing w:line="240" w:lineRule="auto"/>
        <w:ind w:left="0" w:firstLine="0"/>
        <w:rPr>
          <w:rFonts w:cs="Arial"/>
          <w:noProof/>
          <w:sz w:val="20"/>
        </w:rPr>
      </w:pPr>
      <w:bookmarkStart w:id="19" w:name="_ENREF_19"/>
      <w:r w:rsidRPr="00E941E0">
        <w:rPr>
          <w:rFonts w:cs="Arial"/>
          <w:noProof/>
          <w:sz w:val="20"/>
        </w:rPr>
        <w:t xml:space="preserve">Muller GT, Gany A. 2022. Expandable graphite effect on solid fuel and propellant combustion. </w:t>
      </w:r>
      <w:r w:rsidRPr="00E941E0">
        <w:rPr>
          <w:rFonts w:cs="Arial"/>
          <w:i/>
          <w:noProof/>
          <w:sz w:val="20"/>
        </w:rPr>
        <w:t>FirePhysChem</w:t>
      </w:r>
      <w:r w:rsidRPr="00E941E0">
        <w:rPr>
          <w:rFonts w:cs="Arial"/>
          <w:noProof/>
          <w:sz w:val="20"/>
        </w:rPr>
        <w:t>, 2: 72-75.</w:t>
      </w:r>
      <w:bookmarkEnd w:id="19"/>
    </w:p>
    <w:p w14:paraId="269272A7" w14:textId="77777777" w:rsidR="00E941E0" w:rsidRPr="00E941E0" w:rsidRDefault="00E941E0" w:rsidP="00E941E0">
      <w:pPr>
        <w:pStyle w:val="CETReferencetext"/>
        <w:spacing w:line="240" w:lineRule="auto"/>
        <w:ind w:left="0" w:firstLine="0"/>
        <w:rPr>
          <w:rFonts w:cs="Arial"/>
          <w:noProof/>
          <w:sz w:val="20"/>
        </w:rPr>
      </w:pPr>
      <w:bookmarkStart w:id="20" w:name="_ENREF_20"/>
      <w:r w:rsidRPr="00E941E0">
        <w:rPr>
          <w:rFonts w:cs="Arial"/>
          <w:noProof/>
          <w:sz w:val="20"/>
        </w:rPr>
        <w:t xml:space="preserve">Pourmortazavi SM, Mirzajani V, Farhadi K. 2019a. Thermal behavior and thermokinetic of double-base propellant catalyzed with magnesium oxide nanoparticles. </w:t>
      </w:r>
      <w:r w:rsidRPr="00E941E0">
        <w:rPr>
          <w:rFonts w:cs="Arial"/>
          <w:i/>
          <w:noProof/>
          <w:sz w:val="20"/>
        </w:rPr>
        <w:t>Journal of Thermal Analysis and Calorimetry</w:t>
      </w:r>
      <w:r w:rsidRPr="00E941E0">
        <w:rPr>
          <w:rFonts w:cs="Arial"/>
          <w:noProof/>
          <w:sz w:val="20"/>
        </w:rPr>
        <w:t>, 137: 93-104.</w:t>
      </w:r>
      <w:bookmarkEnd w:id="20"/>
    </w:p>
    <w:p w14:paraId="0D3B7B52" w14:textId="77777777" w:rsidR="00E941E0" w:rsidRPr="00E941E0" w:rsidRDefault="00E941E0" w:rsidP="00E941E0">
      <w:pPr>
        <w:pStyle w:val="CETReferencetext"/>
        <w:spacing w:line="240" w:lineRule="auto"/>
        <w:ind w:left="0" w:firstLine="0"/>
        <w:rPr>
          <w:rFonts w:cs="Arial"/>
          <w:noProof/>
          <w:sz w:val="20"/>
        </w:rPr>
      </w:pPr>
      <w:bookmarkStart w:id="21" w:name="_ENREF_21"/>
      <w:r w:rsidRPr="00E941E0">
        <w:rPr>
          <w:rFonts w:cs="Arial"/>
          <w:noProof/>
          <w:sz w:val="20"/>
        </w:rPr>
        <w:t xml:space="preserve">Pourmortazavi SM, Mirzajani V, Farhadi K. 2019b. Thermal behavior and thermokinetic of double-base propellant catalyzed with magnesium oxide nanoparticles. </w:t>
      </w:r>
      <w:r w:rsidRPr="00E941E0">
        <w:rPr>
          <w:rFonts w:cs="Arial"/>
          <w:i/>
          <w:noProof/>
          <w:sz w:val="20"/>
        </w:rPr>
        <w:t>Journal of Thermal Analysis and Calorimetry</w:t>
      </w:r>
      <w:r w:rsidRPr="00E941E0">
        <w:rPr>
          <w:rFonts w:cs="Arial"/>
          <w:noProof/>
          <w:sz w:val="20"/>
        </w:rPr>
        <w:t>, 137: 93-104.</w:t>
      </w:r>
      <w:bookmarkEnd w:id="21"/>
    </w:p>
    <w:p w14:paraId="159AF31A" w14:textId="77777777" w:rsidR="00E941E0" w:rsidRPr="00E941E0" w:rsidRDefault="00E941E0" w:rsidP="00E941E0">
      <w:pPr>
        <w:pStyle w:val="CETReferencetext"/>
        <w:spacing w:line="240" w:lineRule="auto"/>
        <w:ind w:left="0" w:firstLine="0"/>
        <w:rPr>
          <w:rFonts w:cs="Arial"/>
          <w:noProof/>
          <w:sz w:val="20"/>
        </w:rPr>
      </w:pPr>
      <w:bookmarkStart w:id="22" w:name="_ENREF_22"/>
      <w:r w:rsidRPr="00E941E0">
        <w:rPr>
          <w:rFonts w:cs="Arial"/>
          <w:noProof/>
          <w:sz w:val="20"/>
        </w:rPr>
        <w:lastRenderedPageBreak/>
        <w:t xml:space="preserve">Pourmortazavi SM, Rahimi-Nasrabadi M, Kohsari I, Hajimirsadeghi SS. 2012. Non-isothermal kinetic studies on thermal decomposition of energetic materials: KNF and NTO. </w:t>
      </w:r>
      <w:r w:rsidRPr="00E941E0">
        <w:rPr>
          <w:rFonts w:cs="Arial"/>
          <w:i/>
          <w:noProof/>
          <w:sz w:val="20"/>
        </w:rPr>
        <w:t>Journal of Thermal Analysis and Calorimetry</w:t>
      </w:r>
      <w:r w:rsidRPr="00E941E0">
        <w:rPr>
          <w:rFonts w:cs="Arial"/>
          <w:noProof/>
          <w:sz w:val="20"/>
        </w:rPr>
        <w:t>, 110: 857-863.</w:t>
      </w:r>
      <w:bookmarkEnd w:id="22"/>
    </w:p>
    <w:p w14:paraId="222A6845" w14:textId="77777777" w:rsidR="00E941E0" w:rsidRPr="00E941E0" w:rsidRDefault="00E941E0" w:rsidP="00E941E0">
      <w:pPr>
        <w:pStyle w:val="CETReferencetext"/>
        <w:spacing w:line="240" w:lineRule="auto"/>
        <w:ind w:left="0" w:firstLine="0"/>
        <w:rPr>
          <w:rFonts w:cs="Arial"/>
          <w:noProof/>
          <w:sz w:val="20"/>
        </w:rPr>
      </w:pPr>
      <w:bookmarkStart w:id="23" w:name="_ENREF_23"/>
      <w:r w:rsidRPr="00E941E0">
        <w:rPr>
          <w:rFonts w:cs="Arial"/>
          <w:noProof/>
          <w:sz w:val="20"/>
        </w:rPr>
        <w:t xml:space="preserve">Razmara Z, Janczak J. 2021. Sonochemical synthesis and structural characterization of a new three mono-nuclear cobalt (II) complex, to produce tricobalt tetroxide as an effective heterojunction catalyst. </w:t>
      </w:r>
      <w:r w:rsidRPr="00E941E0">
        <w:rPr>
          <w:rFonts w:cs="Arial"/>
          <w:i/>
          <w:noProof/>
          <w:sz w:val="20"/>
        </w:rPr>
        <w:t>Journal of Molecular Structure</w:t>
      </w:r>
      <w:r w:rsidRPr="00E941E0">
        <w:rPr>
          <w:rFonts w:cs="Arial"/>
          <w:noProof/>
          <w:sz w:val="20"/>
        </w:rPr>
        <w:t>, 1229: 129500.</w:t>
      </w:r>
      <w:bookmarkEnd w:id="23"/>
    </w:p>
    <w:p w14:paraId="18236974" w14:textId="77777777" w:rsidR="00E941E0" w:rsidRPr="00E941E0" w:rsidRDefault="00E941E0" w:rsidP="00E941E0">
      <w:pPr>
        <w:pStyle w:val="CETReferencetext"/>
        <w:spacing w:line="240" w:lineRule="auto"/>
        <w:ind w:left="0" w:firstLine="0"/>
        <w:rPr>
          <w:rFonts w:cs="Arial"/>
          <w:noProof/>
          <w:sz w:val="20"/>
        </w:rPr>
      </w:pPr>
      <w:bookmarkStart w:id="24" w:name="_ENREF_24"/>
      <w:r w:rsidRPr="00E941E0">
        <w:rPr>
          <w:rFonts w:cs="Arial"/>
          <w:noProof/>
          <w:sz w:val="20"/>
        </w:rPr>
        <w:t xml:space="preserve">Rouquerol J, Rouquerol F, Llewellyn P, Maurin G, Sing K. 2013. </w:t>
      </w:r>
      <w:r w:rsidRPr="00E941E0">
        <w:rPr>
          <w:rFonts w:cs="Arial"/>
          <w:i/>
          <w:noProof/>
          <w:sz w:val="20"/>
        </w:rPr>
        <w:t>Adsorption by powders and porous solids: principles, methodology and applications</w:t>
      </w:r>
      <w:r w:rsidRPr="00E941E0">
        <w:rPr>
          <w:rFonts w:cs="Arial"/>
          <w:noProof/>
          <w:sz w:val="20"/>
        </w:rPr>
        <w:t>. Academic press.</w:t>
      </w:r>
      <w:bookmarkEnd w:id="24"/>
    </w:p>
    <w:p w14:paraId="5B3214B1" w14:textId="77777777" w:rsidR="00E941E0" w:rsidRPr="00E941E0" w:rsidRDefault="00E941E0" w:rsidP="00E941E0">
      <w:pPr>
        <w:pStyle w:val="CETReferencetext"/>
        <w:spacing w:line="240" w:lineRule="auto"/>
        <w:ind w:left="0" w:firstLine="0"/>
        <w:rPr>
          <w:rFonts w:cs="Arial"/>
          <w:noProof/>
          <w:sz w:val="20"/>
        </w:rPr>
      </w:pPr>
      <w:bookmarkStart w:id="25" w:name="_ENREF_25"/>
      <w:r w:rsidRPr="00E941E0">
        <w:rPr>
          <w:rFonts w:cs="Arial"/>
          <w:noProof/>
          <w:sz w:val="20"/>
        </w:rPr>
        <w:t xml:space="preserve">Sbirrazzuoli N. 2020. Determination of pre-exponential factor and reaction mechanism in a model-free way. </w:t>
      </w:r>
      <w:r w:rsidRPr="00E941E0">
        <w:rPr>
          <w:rFonts w:cs="Arial"/>
          <w:i/>
          <w:noProof/>
          <w:sz w:val="20"/>
        </w:rPr>
        <w:t>Thermochimica Acta</w:t>
      </w:r>
      <w:r w:rsidRPr="00E941E0">
        <w:rPr>
          <w:rFonts w:cs="Arial"/>
          <w:noProof/>
          <w:sz w:val="20"/>
        </w:rPr>
        <w:t>, 691: 178707.</w:t>
      </w:r>
      <w:bookmarkEnd w:id="25"/>
    </w:p>
    <w:p w14:paraId="2FA32D5C" w14:textId="77777777" w:rsidR="00E941E0" w:rsidRPr="00E941E0" w:rsidRDefault="00E941E0" w:rsidP="00E941E0">
      <w:pPr>
        <w:pStyle w:val="CETReferencetext"/>
        <w:spacing w:line="240" w:lineRule="auto"/>
        <w:ind w:left="0" w:firstLine="0"/>
        <w:rPr>
          <w:rFonts w:cs="Arial"/>
          <w:noProof/>
          <w:sz w:val="20"/>
        </w:rPr>
      </w:pPr>
      <w:bookmarkStart w:id="26" w:name="_ENREF_26"/>
      <w:r w:rsidRPr="00E941E0">
        <w:rPr>
          <w:rFonts w:cs="Arial"/>
          <w:noProof/>
          <w:sz w:val="20"/>
        </w:rPr>
        <w:t xml:space="preserve">Sinha P, Banerjee S, Kar KK. 2020. Characteristics of activated carbon. </w:t>
      </w:r>
      <w:r w:rsidRPr="00E941E0">
        <w:rPr>
          <w:rFonts w:cs="Arial"/>
          <w:i/>
          <w:noProof/>
          <w:sz w:val="20"/>
        </w:rPr>
        <w:t>Handbook of nanocomposite supercapacitor materials I: characteristics</w:t>
      </w:r>
      <w:r w:rsidRPr="00E941E0">
        <w:rPr>
          <w:rFonts w:cs="Arial"/>
          <w:noProof/>
          <w:sz w:val="20"/>
        </w:rPr>
        <w:t>: 125-154.</w:t>
      </w:r>
      <w:bookmarkEnd w:id="26"/>
    </w:p>
    <w:p w14:paraId="5339D485" w14:textId="77777777" w:rsidR="00E941E0" w:rsidRPr="00E941E0" w:rsidRDefault="00E941E0" w:rsidP="00E941E0">
      <w:pPr>
        <w:pStyle w:val="CETReferencetext"/>
        <w:spacing w:line="240" w:lineRule="auto"/>
        <w:ind w:left="0" w:firstLine="0"/>
        <w:rPr>
          <w:rFonts w:cs="Arial"/>
          <w:noProof/>
          <w:sz w:val="20"/>
        </w:rPr>
      </w:pPr>
      <w:bookmarkStart w:id="27" w:name="_ENREF_27"/>
      <w:r w:rsidRPr="00E941E0">
        <w:rPr>
          <w:rFonts w:cs="Arial"/>
          <w:noProof/>
          <w:sz w:val="20"/>
        </w:rPr>
        <w:t xml:space="preserve">Tazibet S, Boucheffa Y, Lodewyckx P, Velasco L, Boutillara Y. 2016. Evidence for the effect of the cooling down step on activated carbon adsorption properties. </w:t>
      </w:r>
      <w:r w:rsidRPr="00E941E0">
        <w:rPr>
          <w:rFonts w:cs="Arial"/>
          <w:i/>
          <w:noProof/>
          <w:sz w:val="20"/>
        </w:rPr>
        <w:t>Microporous and Mesoporous Materials</w:t>
      </w:r>
      <w:r w:rsidRPr="00E941E0">
        <w:rPr>
          <w:rFonts w:cs="Arial"/>
          <w:noProof/>
          <w:sz w:val="20"/>
        </w:rPr>
        <w:t>, 221: 67-75.</w:t>
      </w:r>
      <w:bookmarkEnd w:id="27"/>
    </w:p>
    <w:p w14:paraId="720A939E" w14:textId="77777777" w:rsidR="00E941E0" w:rsidRPr="00E941E0" w:rsidRDefault="00E941E0" w:rsidP="00E941E0">
      <w:pPr>
        <w:pStyle w:val="CETReferencetext"/>
        <w:spacing w:line="240" w:lineRule="auto"/>
        <w:ind w:left="0" w:firstLine="0"/>
        <w:rPr>
          <w:rFonts w:cs="Arial"/>
          <w:noProof/>
          <w:sz w:val="20"/>
        </w:rPr>
      </w:pPr>
      <w:bookmarkStart w:id="28" w:name="_ENREF_28"/>
      <w:r w:rsidRPr="00E941E0">
        <w:rPr>
          <w:rFonts w:cs="Arial"/>
          <w:noProof/>
          <w:sz w:val="20"/>
        </w:rPr>
        <w:t xml:space="preserve">Trache D, Abdelaziz A, Siouani B. 2017. A simple and linear isoconversional method to determine the pre-exponential factors and the mathematical reaction mechanism functions. </w:t>
      </w:r>
      <w:r w:rsidRPr="00E941E0">
        <w:rPr>
          <w:rFonts w:cs="Arial"/>
          <w:i/>
          <w:noProof/>
          <w:sz w:val="20"/>
        </w:rPr>
        <w:t>Journal of Thermal Analysis and Calorimetry</w:t>
      </w:r>
      <w:r w:rsidRPr="00E941E0">
        <w:rPr>
          <w:rFonts w:cs="Arial"/>
          <w:noProof/>
          <w:sz w:val="20"/>
        </w:rPr>
        <w:t>, 128: 335-348.</w:t>
      </w:r>
      <w:bookmarkEnd w:id="28"/>
    </w:p>
    <w:p w14:paraId="79FA3610" w14:textId="77777777" w:rsidR="00E941E0" w:rsidRPr="00E941E0" w:rsidRDefault="00E941E0" w:rsidP="00E941E0">
      <w:pPr>
        <w:pStyle w:val="CETReferencetext"/>
        <w:spacing w:line="240" w:lineRule="auto"/>
        <w:ind w:left="0" w:firstLine="0"/>
        <w:rPr>
          <w:rFonts w:cs="Arial"/>
          <w:noProof/>
          <w:sz w:val="20"/>
        </w:rPr>
      </w:pPr>
      <w:bookmarkStart w:id="29" w:name="_ENREF_29"/>
      <w:r w:rsidRPr="00E941E0">
        <w:rPr>
          <w:rFonts w:cs="Arial"/>
          <w:noProof/>
          <w:sz w:val="20"/>
        </w:rPr>
        <w:t xml:space="preserve">Tzvetkov G, Mihaylova S, Stoitchkova K, Tzvetkov P, Spassov T. 2016. Mechanochemical and chemical activation of lignocellulosic material to prepare powdered activated carbons for adsorption applications. </w:t>
      </w:r>
      <w:r w:rsidRPr="00E941E0">
        <w:rPr>
          <w:rFonts w:cs="Arial"/>
          <w:i/>
          <w:noProof/>
          <w:sz w:val="20"/>
        </w:rPr>
        <w:t>Powder Technology</w:t>
      </w:r>
      <w:r w:rsidRPr="00E941E0">
        <w:rPr>
          <w:rFonts w:cs="Arial"/>
          <w:noProof/>
          <w:sz w:val="20"/>
        </w:rPr>
        <w:t>, 299: 41-50.</w:t>
      </w:r>
      <w:bookmarkEnd w:id="29"/>
    </w:p>
    <w:p w14:paraId="01BFE358" w14:textId="77777777" w:rsidR="00E941E0" w:rsidRPr="00E941E0" w:rsidRDefault="00E941E0" w:rsidP="00E941E0">
      <w:pPr>
        <w:pStyle w:val="CETReferencetext"/>
        <w:spacing w:line="240" w:lineRule="auto"/>
        <w:ind w:left="0" w:firstLine="0"/>
        <w:rPr>
          <w:rFonts w:cs="Arial"/>
          <w:noProof/>
          <w:sz w:val="20"/>
        </w:rPr>
      </w:pPr>
      <w:bookmarkStart w:id="30" w:name="_ENREF_30"/>
      <w:r w:rsidRPr="00E941E0">
        <w:rPr>
          <w:rFonts w:cs="Arial"/>
          <w:noProof/>
          <w:sz w:val="20"/>
        </w:rPr>
        <w:t xml:space="preserve">Zhang C, Binienda WK, Zeng L, Ye X, Chen S. 2011. Kinetic study of the novolac resin curing process using model fitting and model-free methods. </w:t>
      </w:r>
      <w:r w:rsidRPr="00E941E0">
        <w:rPr>
          <w:rFonts w:cs="Arial"/>
          <w:i/>
          <w:noProof/>
          <w:sz w:val="20"/>
        </w:rPr>
        <w:t>Thermochimica Acta</w:t>
      </w:r>
      <w:r w:rsidRPr="00E941E0">
        <w:rPr>
          <w:rFonts w:cs="Arial"/>
          <w:noProof/>
          <w:sz w:val="20"/>
        </w:rPr>
        <w:t>, 523: 63-69.</w:t>
      </w:r>
      <w:bookmarkEnd w:id="30"/>
    </w:p>
    <w:p w14:paraId="1BEFAD5D" w14:textId="77777777" w:rsidR="00E941E0" w:rsidRPr="00E941E0" w:rsidRDefault="00E941E0" w:rsidP="00E941E0">
      <w:pPr>
        <w:pStyle w:val="CETReferencetext"/>
        <w:spacing w:line="240" w:lineRule="auto"/>
        <w:ind w:left="0" w:firstLine="0"/>
        <w:rPr>
          <w:rFonts w:cs="Arial"/>
          <w:noProof/>
          <w:sz w:val="20"/>
        </w:rPr>
      </w:pPr>
      <w:bookmarkStart w:id="31" w:name="_ENREF_31"/>
      <w:r w:rsidRPr="00E941E0">
        <w:rPr>
          <w:rFonts w:cs="Arial"/>
          <w:noProof/>
          <w:sz w:val="20"/>
        </w:rPr>
        <w:t xml:space="preserve">Zhao N, Li J, Gong H, An T, Zhao F, Yang A, Hu R, Ma H. 2016. Effects of α-Fe2O3 nanoparticles on the thermal behavior and non-isothermal decomposition kinetics of nitrocellulose. </w:t>
      </w:r>
      <w:r w:rsidRPr="00E941E0">
        <w:rPr>
          <w:rFonts w:cs="Arial"/>
          <w:i/>
          <w:noProof/>
          <w:sz w:val="20"/>
        </w:rPr>
        <w:t>Journal of analytical and applied pyrolysis</w:t>
      </w:r>
      <w:r w:rsidRPr="00E941E0">
        <w:rPr>
          <w:rFonts w:cs="Arial"/>
          <w:noProof/>
          <w:sz w:val="20"/>
        </w:rPr>
        <w:t>, 120: 165-173.</w:t>
      </w:r>
      <w:bookmarkEnd w:id="31"/>
    </w:p>
    <w:p w14:paraId="203E0E9A" w14:textId="77777777" w:rsidR="00E941E0" w:rsidRPr="00E941E0" w:rsidRDefault="00E941E0" w:rsidP="00E941E0">
      <w:pPr>
        <w:pStyle w:val="CETReferencetext"/>
        <w:spacing w:line="240" w:lineRule="auto"/>
        <w:ind w:left="0" w:firstLine="0"/>
        <w:rPr>
          <w:rFonts w:cs="Arial"/>
          <w:noProof/>
          <w:sz w:val="20"/>
        </w:rPr>
      </w:pPr>
      <w:bookmarkStart w:id="32" w:name="_ENREF_32"/>
      <w:r w:rsidRPr="00E941E0">
        <w:rPr>
          <w:rFonts w:cs="Arial"/>
          <w:noProof/>
          <w:sz w:val="20"/>
        </w:rPr>
        <w:t xml:space="preserve">Zhao N, Yu Z, Wang J, Ma H, Yao E, An T, Zhao F, Yu X. 2022. Tailor made CuO/ZIF-8 hybrid structure as a potential candidate for thermocatalytic degradation of nitrocellulose. </w:t>
      </w:r>
      <w:r w:rsidRPr="00E941E0">
        <w:rPr>
          <w:rFonts w:cs="Arial"/>
          <w:i/>
          <w:noProof/>
          <w:sz w:val="20"/>
        </w:rPr>
        <w:t>Thermochimica Acta</w:t>
      </w:r>
      <w:r w:rsidRPr="00E941E0">
        <w:rPr>
          <w:rFonts w:cs="Arial"/>
          <w:noProof/>
          <w:sz w:val="20"/>
        </w:rPr>
        <w:t>, 707: 179101.</w:t>
      </w:r>
      <w:bookmarkEnd w:id="32"/>
    </w:p>
    <w:p w14:paraId="7548D82C" w14:textId="77777777" w:rsidR="00E941E0" w:rsidRPr="00E941E0" w:rsidRDefault="00E941E0" w:rsidP="00E941E0">
      <w:pPr>
        <w:pStyle w:val="CETReferencetext"/>
        <w:spacing w:line="240" w:lineRule="auto"/>
        <w:ind w:left="0" w:firstLine="0"/>
        <w:rPr>
          <w:rFonts w:cs="Arial"/>
          <w:noProof/>
          <w:sz w:val="20"/>
        </w:rPr>
      </w:pPr>
      <w:bookmarkStart w:id="33" w:name="_ENREF_33"/>
      <w:r w:rsidRPr="00E941E0">
        <w:rPr>
          <w:rFonts w:cs="Arial"/>
          <w:noProof/>
          <w:sz w:val="20"/>
        </w:rPr>
        <w:t xml:space="preserve">Zhu H, Dong K, Huang J, Li J, Wang G, Xie Z. 2014. Reaction mechanism and mechanical properties of an aluminum-based composite fabricated in-situ from Al–SiO2 system. </w:t>
      </w:r>
      <w:r w:rsidRPr="00E941E0">
        <w:rPr>
          <w:rFonts w:cs="Arial"/>
          <w:i/>
          <w:noProof/>
          <w:sz w:val="20"/>
        </w:rPr>
        <w:t>Materials Chemistry and Physics</w:t>
      </w:r>
      <w:r w:rsidRPr="00E941E0">
        <w:rPr>
          <w:rFonts w:cs="Arial"/>
          <w:noProof/>
          <w:sz w:val="20"/>
        </w:rPr>
        <w:t>, 145: 334-341.</w:t>
      </w:r>
      <w:bookmarkEnd w:id="33"/>
    </w:p>
    <w:p w14:paraId="4FA9A1B6" w14:textId="5AC93D7D" w:rsidR="00E941E0" w:rsidRDefault="00E941E0" w:rsidP="00E941E0">
      <w:pPr>
        <w:pStyle w:val="CETReferencetext"/>
        <w:spacing w:line="240" w:lineRule="auto"/>
        <w:rPr>
          <w:rFonts w:cs="Arial"/>
          <w:noProof/>
          <w:sz w:val="20"/>
        </w:rPr>
      </w:pPr>
    </w:p>
    <w:p w14:paraId="2ACDA05F" w14:textId="0C223B5A" w:rsidR="003658A7" w:rsidRDefault="00622BED" w:rsidP="00961078">
      <w:pPr>
        <w:pStyle w:val="CETReferencetext"/>
      </w:pPr>
      <w:r w:rsidRPr="00F2643E">
        <w:fldChar w:fldCharType="end"/>
      </w:r>
    </w:p>
    <w:p w14:paraId="184BADC9" w14:textId="77777777" w:rsidR="003658A7" w:rsidRDefault="003658A7">
      <w:pPr>
        <w:tabs>
          <w:tab w:val="clear" w:pos="7100"/>
        </w:tabs>
        <w:spacing w:after="200" w:line="276" w:lineRule="auto"/>
        <w:jc w:val="left"/>
      </w:pPr>
      <w:r>
        <w:br w:type="page"/>
      </w:r>
      <w:bookmarkStart w:id="34" w:name="_GoBack"/>
      <w:bookmarkEnd w:id="34"/>
    </w:p>
    <w:p w14:paraId="09730871" w14:textId="77777777" w:rsidR="003658A7" w:rsidRPr="00CB3116" w:rsidRDefault="003658A7" w:rsidP="003658A7">
      <w:pPr>
        <w:jc w:val="center"/>
        <w:rPr>
          <w:b/>
          <w:sz w:val="28"/>
          <w:szCs w:val="28"/>
        </w:rPr>
      </w:pPr>
      <w:r w:rsidRPr="00CB3116">
        <w:rPr>
          <w:b/>
          <w:sz w:val="28"/>
          <w:szCs w:val="28"/>
        </w:rPr>
        <w:lastRenderedPageBreak/>
        <w:t xml:space="preserve">Revision for the Manuscript ref: </w:t>
      </w:r>
      <w:r w:rsidRPr="00CB3116">
        <w:rPr>
          <w:rFonts w:asciiTheme="majorBidi" w:hAnsiTheme="majorBidi" w:cstheme="majorBidi"/>
          <w:b/>
          <w:color w:val="222222"/>
          <w:sz w:val="24"/>
          <w:szCs w:val="24"/>
          <w:shd w:val="clear" w:color="auto" w:fill="FFFFFF"/>
        </w:rPr>
        <w:t>159</w:t>
      </w:r>
      <w:r w:rsidRPr="00CB3116">
        <w:rPr>
          <w:rFonts w:cs="Arial"/>
          <w:b/>
          <w:color w:val="222222"/>
          <w:sz w:val="16"/>
          <w:szCs w:val="18"/>
          <w:shd w:val="clear" w:color="auto" w:fill="FFFFFF"/>
        </w:rPr>
        <w:t> </w:t>
      </w:r>
      <w:r w:rsidRPr="00CB3116">
        <w:rPr>
          <w:rFonts w:asciiTheme="majorBidi" w:hAnsiTheme="majorBidi" w:cstheme="majorBidi"/>
          <w:b/>
          <w:bCs/>
          <w:color w:val="222222"/>
          <w:sz w:val="28"/>
          <w:szCs w:val="28"/>
          <w:shd w:val="clear" w:color="auto" w:fill="FFFFFF"/>
        </w:rPr>
        <w:t xml:space="preserve">  </w:t>
      </w:r>
    </w:p>
    <w:p w14:paraId="1D178C84" w14:textId="77777777" w:rsidR="003658A7" w:rsidRPr="00BE5346" w:rsidRDefault="003658A7" w:rsidP="003658A7">
      <w:pPr>
        <w:autoSpaceDE w:val="0"/>
        <w:autoSpaceDN w:val="0"/>
        <w:adjustRightInd w:val="0"/>
        <w:spacing w:line="276" w:lineRule="auto"/>
        <w:ind w:left="993" w:hanging="993"/>
        <w:rPr>
          <w:lang w:val="pt-PT"/>
        </w:rPr>
      </w:pPr>
    </w:p>
    <w:p w14:paraId="2B765B4A" w14:textId="77777777" w:rsidR="003658A7" w:rsidRPr="00CB3116" w:rsidRDefault="003658A7" w:rsidP="003658A7">
      <w:pPr>
        <w:autoSpaceDE w:val="0"/>
        <w:autoSpaceDN w:val="0"/>
        <w:adjustRightInd w:val="0"/>
        <w:spacing w:line="276" w:lineRule="auto"/>
        <w:rPr>
          <w:rFonts w:asciiTheme="majorBidi" w:hAnsiTheme="majorBidi" w:cstheme="majorBidi"/>
          <w:b/>
          <w:bCs/>
          <w:szCs w:val="18"/>
          <w:lang w:val="pt-PT"/>
        </w:rPr>
      </w:pPr>
      <w:r w:rsidRPr="00CB3116">
        <w:rPr>
          <w:b/>
          <w:bCs/>
          <w:szCs w:val="18"/>
          <w:lang w:val="pt-PT"/>
        </w:rPr>
        <w:t>Title</w:t>
      </w:r>
      <w:r w:rsidRPr="00CB3116">
        <w:rPr>
          <w:szCs w:val="18"/>
        </w:rPr>
        <w:t>: Thermal decomposition behavior and kinetics of Nitrocellulose in the presence of a Metal Oxide supported on Activated Carbon.</w:t>
      </w:r>
    </w:p>
    <w:p w14:paraId="7698F1F8" w14:textId="77777777" w:rsidR="003658A7" w:rsidRPr="00CB3116" w:rsidRDefault="003658A7" w:rsidP="003658A7">
      <w:pPr>
        <w:autoSpaceDE w:val="0"/>
        <w:autoSpaceDN w:val="0"/>
        <w:adjustRightInd w:val="0"/>
        <w:spacing w:after="240" w:line="276" w:lineRule="auto"/>
        <w:ind w:left="993" w:hanging="993"/>
        <w:rPr>
          <w:i/>
          <w:iCs/>
          <w:color w:val="000000" w:themeColor="text1"/>
          <w:szCs w:val="18"/>
          <w:vertAlign w:val="superscript"/>
        </w:rPr>
      </w:pPr>
      <w:r w:rsidRPr="00CB3116">
        <w:rPr>
          <w:b/>
          <w:color w:val="000000" w:themeColor="text1"/>
          <w:szCs w:val="18"/>
          <w:u w:val="single"/>
          <w:lang w:val="pt-PT"/>
        </w:rPr>
        <w:t>Authors</w:t>
      </w:r>
      <w:r w:rsidRPr="00CB3116">
        <w:rPr>
          <w:color w:val="000000" w:themeColor="text1"/>
          <w:szCs w:val="18"/>
          <w:lang w:val="pt-PT"/>
        </w:rPr>
        <w:t xml:space="preserve">: </w:t>
      </w:r>
      <w:r w:rsidRPr="00CB3116">
        <w:rPr>
          <w:i/>
          <w:iCs/>
          <w:color w:val="000000" w:themeColor="text1"/>
          <w:szCs w:val="18"/>
        </w:rPr>
        <w:t xml:space="preserve">Mohammed </w:t>
      </w:r>
      <w:proofErr w:type="spellStart"/>
      <w:r w:rsidRPr="00CB3116">
        <w:rPr>
          <w:i/>
          <w:iCs/>
          <w:color w:val="000000" w:themeColor="text1"/>
          <w:szCs w:val="18"/>
        </w:rPr>
        <w:t>Dourari</w:t>
      </w:r>
      <w:proofErr w:type="spellEnd"/>
      <w:r w:rsidRPr="00CB3116">
        <w:rPr>
          <w:i/>
          <w:iCs/>
          <w:color w:val="000000" w:themeColor="text1"/>
          <w:szCs w:val="18"/>
        </w:rPr>
        <w:t xml:space="preserve">, Ahmed </w:t>
      </w:r>
      <w:proofErr w:type="spellStart"/>
      <w:r w:rsidRPr="00CB3116">
        <w:rPr>
          <w:i/>
          <w:iCs/>
          <w:color w:val="000000" w:themeColor="text1"/>
          <w:szCs w:val="18"/>
        </w:rPr>
        <w:t>Fouzi</w:t>
      </w:r>
      <w:proofErr w:type="spellEnd"/>
      <w:r w:rsidRPr="00CB3116">
        <w:rPr>
          <w:i/>
          <w:iCs/>
          <w:color w:val="000000" w:themeColor="text1"/>
          <w:szCs w:val="18"/>
        </w:rPr>
        <w:t xml:space="preserve"> </w:t>
      </w:r>
      <w:proofErr w:type="spellStart"/>
      <w:r w:rsidRPr="00CB3116">
        <w:rPr>
          <w:i/>
          <w:iCs/>
          <w:color w:val="000000" w:themeColor="text1"/>
          <w:szCs w:val="18"/>
        </w:rPr>
        <w:t>Tarchoun</w:t>
      </w:r>
      <w:proofErr w:type="spellEnd"/>
      <w:r w:rsidRPr="00CB3116">
        <w:rPr>
          <w:i/>
          <w:iCs/>
          <w:color w:val="000000" w:themeColor="text1"/>
          <w:szCs w:val="18"/>
        </w:rPr>
        <w:t xml:space="preserve">, </w:t>
      </w:r>
      <w:proofErr w:type="spellStart"/>
      <w:r w:rsidRPr="00CB3116">
        <w:rPr>
          <w:i/>
          <w:iCs/>
          <w:color w:val="000000" w:themeColor="text1"/>
          <w:szCs w:val="18"/>
        </w:rPr>
        <w:t>Djalal</w:t>
      </w:r>
      <w:proofErr w:type="spellEnd"/>
      <w:r w:rsidRPr="00CB3116">
        <w:rPr>
          <w:i/>
          <w:iCs/>
          <w:color w:val="000000" w:themeColor="text1"/>
          <w:szCs w:val="18"/>
        </w:rPr>
        <w:t xml:space="preserve"> </w:t>
      </w:r>
      <w:proofErr w:type="spellStart"/>
      <w:r w:rsidRPr="00CB3116">
        <w:rPr>
          <w:i/>
          <w:iCs/>
          <w:color w:val="000000" w:themeColor="text1"/>
          <w:szCs w:val="18"/>
        </w:rPr>
        <w:t>Trache</w:t>
      </w:r>
      <w:proofErr w:type="spellEnd"/>
      <w:r w:rsidRPr="00CB3116">
        <w:rPr>
          <w:i/>
          <w:iCs/>
          <w:color w:val="000000" w:themeColor="text1"/>
          <w:szCs w:val="18"/>
        </w:rPr>
        <w:t xml:space="preserve">, </w:t>
      </w:r>
      <w:proofErr w:type="spellStart"/>
      <w:r w:rsidRPr="00CB3116">
        <w:rPr>
          <w:i/>
          <w:iCs/>
          <w:color w:val="000000" w:themeColor="text1"/>
          <w:szCs w:val="18"/>
        </w:rPr>
        <w:t>Tessnim</w:t>
      </w:r>
      <w:proofErr w:type="spellEnd"/>
      <w:r w:rsidRPr="00CB3116">
        <w:rPr>
          <w:i/>
          <w:iCs/>
          <w:color w:val="000000" w:themeColor="text1"/>
          <w:szCs w:val="18"/>
        </w:rPr>
        <w:t xml:space="preserve"> </w:t>
      </w:r>
      <w:proofErr w:type="spellStart"/>
      <w:r w:rsidRPr="00CB3116">
        <w:rPr>
          <w:i/>
          <w:iCs/>
          <w:color w:val="000000" w:themeColor="text1"/>
          <w:szCs w:val="18"/>
        </w:rPr>
        <w:t>Barkat</w:t>
      </w:r>
      <w:proofErr w:type="spellEnd"/>
    </w:p>
    <w:p w14:paraId="6487B59C" w14:textId="77777777" w:rsidR="003658A7" w:rsidRPr="00CB3116" w:rsidRDefault="003658A7" w:rsidP="003658A7">
      <w:pPr>
        <w:spacing w:after="240"/>
        <w:rPr>
          <w:szCs w:val="18"/>
          <w:lang w:val="pt-PT"/>
        </w:rPr>
      </w:pPr>
      <w:r w:rsidRPr="00CB3116">
        <w:rPr>
          <w:szCs w:val="18"/>
          <w:lang w:val="pt-PT"/>
        </w:rPr>
        <w:t xml:space="preserve">Dear </w:t>
      </w:r>
      <w:r w:rsidRPr="00CB3116">
        <w:rPr>
          <w:szCs w:val="18"/>
          <w:lang w:val="en-US"/>
        </w:rPr>
        <w:t>icheap17 ISC Chairmen</w:t>
      </w:r>
      <w:r w:rsidRPr="00CB3116">
        <w:rPr>
          <w:szCs w:val="18"/>
          <w:lang w:val="pt-PT"/>
        </w:rPr>
        <w:t>,</w:t>
      </w:r>
    </w:p>
    <w:p w14:paraId="454F034E" w14:textId="77777777" w:rsidR="003658A7" w:rsidRPr="00CB3116" w:rsidRDefault="003658A7" w:rsidP="003658A7">
      <w:pPr>
        <w:spacing w:line="360" w:lineRule="auto"/>
        <w:rPr>
          <w:szCs w:val="18"/>
        </w:rPr>
      </w:pPr>
      <w:r w:rsidRPr="00CB3116">
        <w:rPr>
          <w:szCs w:val="18"/>
        </w:rPr>
        <w:t>Thank you very much for your comments and valuable suggestions concerning our manuscript entitled “Thermal decomposition behavior and kinetics of Nitrocellulose in the presence of a Metal Oxide supported on Activated Carbon”. Based on the comments and suggestions from the reviewers, we have addressed all issues to improve the quality and the readability of the manuscript in this revised version. The changes introduced are given below, where for each question an answer is given, and all the changes are highlighted in yellow in the revised manuscript. We really thank the reviewer’s efforts, as they definitely improved the overall quality of the manuscript, which is now clearer and more consistent. We appreciate your time and consideration, and we will be happy to give any further information or clarifications.</w:t>
      </w:r>
    </w:p>
    <w:p w14:paraId="033E94D1" w14:textId="77777777" w:rsidR="003658A7" w:rsidRPr="00CB3116" w:rsidRDefault="003658A7" w:rsidP="003658A7">
      <w:pPr>
        <w:spacing w:line="360" w:lineRule="auto"/>
        <w:rPr>
          <w:szCs w:val="18"/>
        </w:rPr>
      </w:pPr>
      <w:r w:rsidRPr="00CB3116">
        <w:rPr>
          <w:szCs w:val="18"/>
        </w:rPr>
        <w:t>Yours sincerely,</w:t>
      </w:r>
    </w:p>
    <w:p w14:paraId="12DFC25D" w14:textId="77777777" w:rsidR="003658A7" w:rsidRPr="00CB3116" w:rsidRDefault="003658A7" w:rsidP="003658A7">
      <w:pPr>
        <w:spacing w:after="240" w:line="360" w:lineRule="auto"/>
        <w:rPr>
          <w:b/>
          <w:szCs w:val="18"/>
        </w:rPr>
      </w:pPr>
      <w:r w:rsidRPr="00CB3116">
        <w:rPr>
          <w:i/>
          <w:iCs/>
          <w:szCs w:val="18"/>
        </w:rPr>
        <w:t xml:space="preserve">Mohammed </w:t>
      </w:r>
      <w:proofErr w:type="spellStart"/>
      <w:r w:rsidRPr="00CB3116">
        <w:rPr>
          <w:i/>
          <w:iCs/>
          <w:szCs w:val="18"/>
        </w:rPr>
        <w:t>Dourari</w:t>
      </w:r>
      <w:proofErr w:type="spellEnd"/>
      <w:r w:rsidRPr="00CB3116">
        <w:rPr>
          <w:szCs w:val="18"/>
        </w:rPr>
        <w:t>.</w:t>
      </w:r>
      <w:r w:rsidRPr="00CB3116">
        <w:rPr>
          <w:b/>
          <w:szCs w:val="18"/>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8079"/>
      </w:tblGrid>
      <w:tr w:rsidR="003658A7" w:rsidRPr="00CB3116" w14:paraId="186AAA68" w14:textId="77777777" w:rsidTr="00BA4EF5">
        <w:tc>
          <w:tcPr>
            <w:tcW w:w="1555" w:type="dxa"/>
            <w:shd w:val="clear" w:color="auto" w:fill="D9D9D9"/>
            <w:tcMar>
              <w:top w:w="57" w:type="dxa"/>
              <w:bottom w:w="57" w:type="dxa"/>
            </w:tcMar>
          </w:tcPr>
          <w:p w14:paraId="2D301240" w14:textId="77777777" w:rsidR="003658A7" w:rsidRPr="00CB3116" w:rsidRDefault="003658A7" w:rsidP="00864D0F">
            <w:pPr>
              <w:spacing w:line="276" w:lineRule="auto"/>
              <w:rPr>
                <w:rFonts w:asciiTheme="minorBidi" w:hAnsiTheme="minorBidi" w:cstheme="minorBidi"/>
                <w:b/>
                <w:szCs w:val="18"/>
              </w:rPr>
            </w:pPr>
            <w:r w:rsidRPr="00CB3116">
              <w:rPr>
                <w:rFonts w:asciiTheme="minorBidi" w:hAnsiTheme="minorBidi" w:cstheme="minorBidi"/>
                <w:b/>
                <w:szCs w:val="18"/>
              </w:rPr>
              <w:t>Reviewer #1</w:t>
            </w:r>
          </w:p>
          <w:p w14:paraId="2838EF07" w14:textId="77777777" w:rsidR="003658A7" w:rsidRPr="00CB3116" w:rsidRDefault="003658A7" w:rsidP="00864D0F">
            <w:pPr>
              <w:spacing w:line="276" w:lineRule="auto"/>
              <w:rPr>
                <w:rFonts w:asciiTheme="minorBidi" w:hAnsiTheme="minorBidi" w:cstheme="minorBidi"/>
                <w:b/>
                <w:color w:val="0000FF"/>
                <w:szCs w:val="18"/>
              </w:rPr>
            </w:pPr>
          </w:p>
        </w:tc>
        <w:tc>
          <w:tcPr>
            <w:tcW w:w="8079" w:type="dxa"/>
            <w:shd w:val="clear" w:color="auto" w:fill="D9D9D9"/>
            <w:tcMar>
              <w:top w:w="57" w:type="dxa"/>
              <w:bottom w:w="57" w:type="dxa"/>
            </w:tcMar>
          </w:tcPr>
          <w:p w14:paraId="2B36A7DA" w14:textId="77777777" w:rsidR="003658A7" w:rsidRPr="00CB3116" w:rsidRDefault="003658A7" w:rsidP="00864D0F">
            <w:pPr>
              <w:spacing w:line="276" w:lineRule="auto"/>
              <w:rPr>
                <w:rFonts w:asciiTheme="minorBidi" w:hAnsiTheme="minorBidi" w:cstheme="minorBidi"/>
                <w:szCs w:val="18"/>
              </w:rPr>
            </w:pPr>
            <w:r w:rsidRPr="00CB3116">
              <w:rPr>
                <w:rFonts w:asciiTheme="minorBidi" w:hAnsiTheme="minorBidi" w:cstheme="minorBidi"/>
                <w:szCs w:val="18"/>
              </w:rPr>
              <w:t>decision: accept after major revisions</w:t>
            </w:r>
          </w:p>
          <w:p w14:paraId="6AD21489" w14:textId="77777777" w:rsidR="003658A7" w:rsidRPr="00CB3116" w:rsidRDefault="003658A7" w:rsidP="00864D0F">
            <w:pPr>
              <w:spacing w:line="276" w:lineRule="auto"/>
              <w:rPr>
                <w:rFonts w:asciiTheme="minorBidi" w:hAnsiTheme="minorBidi" w:cstheme="minorBidi"/>
                <w:szCs w:val="18"/>
              </w:rPr>
            </w:pPr>
            <w:r w:rsidRPr="00CB3116">
              <w:rPr>
                <w:rFonts w:asciiTheme="minorBidi" w:hAnsiTheme="minorBidi" w:cstheme="minorBidi"/>
                <w:szCs w:val="18"/>
              </w:rPr>
              <w:t>The article discusses on the synthesis of Cobalt oxide supported on activated carbon (AC-CoO) as energetic materials. Below are some suggestions to improve the overall quality of the manuscript</w:t>
            </w:r>
          </w:p>
        </w:tc>
      </w:tr>
      <w:tr w:rsidR="003658A7" w:rsidRPr="00CB3116" w14:paraId="45096EF3" w14:textId="77777777" w:rsidTr="00BA4EF5">
        <w:tc>
          <w:tcPr>
            <w:tcW w:w="1555" w:type="dxa"/>
            <w:shd w:val="clear" w:color="auto" w:fill="auto"/>
            <w:tcMar>
              <w:top w:w="57" w:type="dxa"/>
              <w:bottom w:w="57" w:type="dxa"/>
            </w:tcMar>
          </w:tcPr>
          <w:p w14:paraId="4F181B24" w14:textId="77777777" w:rsidR="003658A7" w:rsidRPr="00CB3116" w:rsidRDefault="003658A7" w:rsidP="00864D0F">
            <w:pPr>
              <w:spacing w:line="276" w:lineRule="auto"/>
              <w:rPr>
                <w:rFonts w:asciiTheme="minorBidi" w:hAnsiTheme="minorBidi" w:cstheme="minorBidi"/>
                <w:b/>
                <w:szCs w:val="18"/>
              </w:rPr>
            </w:pPr>
            <w:r w:rsidRPr="00CB3116">
              <w:rPr>
                <w:rFonts w:asciiTheme="minorBidi" w:hAnsiTheme="minorBidi" w:cstheme="minorBidi"/>
                <w:b/>
                <w:color w:val="0000FF"/>
                <w:szCs w:val="18"/>
              </w:rPr>
              <w:t>Answer</w:t>
            </w:r>
          </w:p>
        </w:tc>
        <w:tc>
          <w:tcPr>
            <w:tcW w:w="8079" w:type="dxa"/>
            <w:shd w:val="clear" w:color="auto" w:fill="auto"/>
            <w:tcMar>
              <w:top w:w="57" w:type="dxa"/>
              <w:bottom w:w="57" w:type="dxa"/>
            </w:tcMar>
          </w:tcPr>
          <w:p w14:paraId="6AD6193B" w14:textId="77777777" w:rsidR="003658A7" w:rsidRPr="00CB3116" w:rsidRDefault="003658A7" w:rsidP="00864D0F">
            <w:pPr>
              <w:spacing w:line="276" w:lineRule="auto"/>
              <w:rPr>
                <w:rFonts w:asciiTheme="minorBidi" w:hAnsiTheme="minorBidi" w:cstheme="minorBidi"/>
                <w:color w:val="000000" w:themeColor="text1"/>
                <w:szCs w:val="18"/>
              </w:rPr>
            </w:pPr>
            <w:r w:rsidRPr="00CB3116">
              <w:rPr>
                <w:rFonts w:asciiTheme="minorBidi" w:hAnsiTheme="minorBidi" w:cstheme="minorBidi"/>
                <w:color w:val="000000" w:themeColor="text1"/>
                <w:szCs w:val="18"/>
              </w:rPr>
              <w:t>We sincerely thank the reviewer for their kind, patient, and professional comments on our manuscript. We greatly appreciate the reviewer’s positive assessment of our investigation.</w:t>
            </w:r>
          </w:p>
          <w:p w14:paraId="3292CE84" w14:textId="77777777" w:rsidR="003658A7" w:rsidRPr="00CB3116" w:rsidRDefault="003658A7" w:rsidP="00864D0F">
            <w:pPr>
              <w:spacing w:line="276" w:lineRule="auto"/>
              <w:rPr>
                <w:rFonts w:asciiTheme="minorBidi" w:hAnsiTheme="minorBidi" w:cstheme="minorBidi"/>
                <w:color w:val="000000" w:themeColor="text1"/>
                <w:szCs w:val="18"/>
              </w:rPr>
            </w:pPr>
            <w:r w:rsidRPr="00CB3116">
              <w:rPr>
                <w:rFonts w:asciiTheme="minorBidi" w:hAnsiTheme="minorBidi" w:cstheme="minorBidi"/>
                <w:color w:val="000000" w:themeColor="text1"/>
                <w:szCs w:val="18"/>
              </w:rPr>
              <w:t>We have carefully considered the reviewer’s suggestions and have made the necessary revisions. We are confident that these revisions will improve the clarity and accuracy of the manuscript, and we hope that the revised version meets your expectations.</w:t>
            </w:r>
          </w:p>
        </w:tc>
      </w:tr>
      <w:tr w:rsidR="003658A7" w:rsidRPr="00CB3116" w14:paraId="501732A3" w14:textId="77777777" w:rsidTr="00BA4EF5">
        <w:tc>
          <w:tcPr>
            <w:tcW w:w="1555" w:type="dxa"/>
            <w:shd w:val="clear" w:color="auto" w:fill="auto"/>
            <w:tcMar>
              <w:top w:w="57" w:type="dxa"/>
              <w:bottom w:w="57" w:type="dxa"/>
            </w:tcMar>
          </w:tcPr>
          <w:p w14:paraId="15F247AE" w14:textId="77777777" w:rsidR="003658A7" w:rsidRPr="00CB3116" w:rsidRDefault="003658A7" w:rsidP="00864D0F">
            <w:pPr>
              <w:spacing w:line="276" w:lineRule="auto"/>
              <w:rPr>
                <w:rFonts w:asciiTheme="minorBidi" w:hAnsiTheme="minorBidi" w:cstheme="minorBidi"/>
                <w:b/>
                <w:szCs w:val="18"/>
              </w:rPr>
            </w:pPr>
            <w:r w:rsidRPr="00CB3116">
              <w:rPr>
                <w:rFonts w:asciiTheme="minorBidi" w:hAnsiTheme="minorBidi" w:cstheme="minorBidi"/>
                <w:b/>
                <w:color w:val="0000FF"/>
                <w:szCs w:val="18"/>
              </w:rPr>
              <w:t>Changes made</w:t>
            </w:r>
          </w:p>
        </w:tc>
        <w:tc>
          <w:tcPr>
            <w:tcW w:w="8079" w:type="dxa"/>
            <w:shd w:val="clear" w:color="auto" w:fill="auto"/>
            <w:tcMar>
              <w:top w:w="57" w:type="dxa"/>
              <w:bottom w:w="57" w:type="dxa"/>
            </w:tcMar>
          </w:tcPr>
          <w:p w14:paraId="0AB4AB2A" w14:textId="77777777" w:rsidR="003658A7" w:rsidRPr="00CB3116" w:rsidRDefault="003658A7" w:rsidP="00864D0F">
            <w:pPr>
              <w:spacing w:line="276" w:lineRule="auto"/>
              <w:rPr>
                <w:rFonts w:asciiTheme="minorBidi" w:hAnsiTheme="minorBidi" w:cstheme="minorBidi"/>
                <w:szCs w:val="18"/>
              </w:rPr>
            </w:pPr>
            <w:r w:rsidRPr="00CB3116">
              <w:rPr>
                <w:rFonts w:asciiTheme="minorBidi" w:hAnsiTheme="minorBidi" w:cstheme="minorBidi"/>
                <w:b/>
                <w:color w:val="0000FF"/>
                <w:szCs w:val="18"/>
              </w:rPr>
              <w:t>/</w:t>
            </w:r>
          </w:p>
        </w:tc>
      </w:tr>
      <w:tr w:rsidR="003658A7" w:rsidRPr="00CB3116" w14:paraId="2C871AB3" w14:textId="77777777" w:rsidTr="00BA4EF5">
        <w:tc>
          <w:tcPr>
            <w:tcW w:w="1555" w:type="dxa"/>
            <w:shd w:val="clear" w:color="auto" w:fill="D9D9D9" w:themeFill="background1" w:themeFillShade="D9"/>
            <w:tcMar>
              <w:top w:w="57" w:type="dxa"/>
              <w:bottom w:w="57" w:type="dxa"/>
            </w:tcMar>
          </w:tcPr>
          <w:p w14:paraId="24FE82E4" w14:textId="77777777" w:rsidR="003658A7" w:rsidRPr="00CB3116" w:rsidRDefault="003658A7" w:rsidP="00864D0F">
            <w:pPr>
              <w:spacing w:line="276" w:lineRule="auto"/>
              <w:rPr>
                <w:rFonts w:asciiTheme="minorBidi" w:hAnsiTheme="minorBidi" w:cstheme="minorBidi"/>
                <w:b/>
                <w:szCs w:val="18"/>
              </w:rPr>
            </w:pPr>
            <w:r w:rsidRPr="00CB3116">
              <w:rPr>
                <w:rFonts w:asciiTheme="minorBidi" w:hAnsiTheme="minorBidi" w:cstheme="minorBidi"/>
                <w:b/>
                <w:szCs w:val="18"/>
              </w:rPr>
              <w:t>Reviewer #1</w:t>
            </w:r>
          </w:p>
          <w:p w14:paraId="52F018FA" w14:textId="77777777" w:rsidR="003658A7" w:rsidRPr="00CB3116" w:rsidRDefault="003658A7" w:rsidP="00864D0F">
            <w:pPr>
              <w:spacing w:line="276" w:lineRule="auto"/>
              <w:rPr>
                <w:rFonts w:asciiTheme="minorBidi" w:hAnsiTheme="minorBidi" w:cstheme="minorBidi"/>
                <w:b/>
                <w:color w:val="0000FF"/>
                <w:szCs w:val="18"/>
              </w:rPr>
            </w:pPr>
            <w:r w:rsidRPr="00CB3116">
              <w:rPr>
                <w:rFonts w:asciiTheme="minorBidi" w:hAnsiTheme="minorBidi" w:cstheme="minorBidi"/>
                <w:b/>
                <w:szCs w:val="18"/>
              </w:rPr>
              <w:t>Comment 1</w:t>
            </w:r>
          </w:p>
        </w:tc>
        <w:tc>
          <w:tcPr>
            <w:tcW w:w="8079" w:type="dxa"/>
            <w:shd w:val="clear" w:color="auto" w:fill="D9D9D9" w:themeFill="background1" w:themeFillShade="D9"/>
            <w:tcMar>
              <w:top w:w="57" w:type="dxa"/>
              <w:bottom w:w="57" w:type="dxa"/>
            </w:tcMar>
          </w:tcPr>
          <w:p w14:paraId="5FFB18D8" w14:textId="77777777" w:rsidR="003658A7" w:rsidRPr="00CB3116" w:rsidRDefault="003658A7" w:rsidP="00864D0F">
            <w:pPr>
              <w:spacing w:line="276" w:lineRule="auto"/>
              <w:rPr>
                <w:rFonts w:asciiTheme="minorBidi" w:hAnsiTheme="minorBidi" w:cstheme="minorBidi"/>
                <w:szCs w:val="18"/>
              </w:rPr>
            </w:pPr>
            <w:r w:rsidRPr="00CB3116">
              <w:rPr>
                <w:rFonts w:asciiTheme="minorBidi" w:hAnsiTheme="minorBidi" w:cstheme="minorBidi"/>
                <w:szCs w:val="18"/>
              </w:rPr>
              <w:t>The discussion content of the manuscript clearly focuses on cobalt oxide supported on AC.</w:t>
            </w:r>
          </w:p>
          <w:p w14:paraId="3EF4F122" w14:textId="77777777" w:rsidR="003658A7" w:rsidRPr="00CB3116" w:rsidRDefault="003658A7" w:rsidP="00864D0F">
            <w:pPr>
              <w:spacing w:line="276" w:lineRule="auto"/>
              <w:rPr>
                <w:rFonts w:asciiTheme="minorBidi" w:hAnsiTheme="minorBidi" w:cstheme="minorBidi"/>
                <w:szCs w:val="18"/>
              </w:rPr>
            </w:pPr>
            <w:r w:rsidRPr="00CB3116">
              <w:rPr>
                <w:rFonts w:asciiTheme="minorBidi" w:hAnsiTheme="minorBidi" w:cstheme="minorBidi"/>
                <w:szCs w:val="18"/>
              </w:rPr>
              <w:t xml:space="preserve">As such the manuscript title should be revised for better </w:t>
            </w:r>
            <w:proofErr w:type="gramStart"/>
            <w:r w:rsidRPr="00CB3116">
              <w:rPr>
                <w:rFonts w:asciiTheme="minorBidi" w:hAnsiTheme="minorBidi" w:cstheme="minorBidi"/>
                <w:szCs w:val="18"/>
              </w:rPr>
              <w:t>clarity  where</w:t>
            </w:r>
            <w:proofErr w:type="gramEnd"/>
            <w:r w:rsidRPr="00CB3116">
              <w:rPr>
                <w:rFonts w:asciiTheme="minorBidi" w:hAnsiTheme="minorBidi" w:cstheme="minorBidi"/>
                <w:szCs w:val="18"/>
              </w:rPr>
              <w:t xml:space="preserve"> the term ‘Metal Oxide</w:t>
            </w:r>
          </w:p>
          <w:p w14:paraId="55D376F3" w14:textId="77777777" w:rsidR="003658A7" w:rsidRPr="00CB3116" w:rsidRDefault="003658A7" w:rsidP="00864D0F">
            <w:pPr>
              <w:spacing w:line="276" w:lineRule="auto"/>
              <w:rPr>
                <w:rFonts w:asciiTheme="minorBidi" w:hAnsiTheme="minorBidi" w:cstheme="minorBidi"/>
                <w:szCs w:val="18"/>
              </w:rPr>
            </w:pPr>
            <w:r w:rsidRPr="00CB3116">
              <w:rPr>
                <w:rFonts w:asciiTheme="minorBidi" w:hAnsiTheme="minorBidi" w:cstheme="minorBidi"/>
                <w:szCs w:val="18"/>
              </w:rPr>
              <w:t>Supported on Activated Carbon’ in the title should be replaced as ‘Cobalt Oxide Supported on Activated Carbon</w:t>
            </w:r>
          </w:p>
        </w:tc>
      </w:tr>
      <w:tr w:rsidR="003658A7" w:rsidRPr="00CB3116" w14:paraId="07AF521E" w14:textId="77777777" w:rsidTr="00BA4EF5">
        <w:tc>
          <w:tcPr>
            <w:tcW w:w="1555" w:type="dxa"/>
            <w:shd w:val="clear" w:color="auto" w:fill="auto"/>
            <w:tcMar>
              <w:top w:w="57" w:type="dxa"/>
              <w:bottom w:w="57" w:type="dxa"/>
            </w:tcMar>
          </w:tcPr>
          <w:p w14:paraId="5618175F" w14:textId="77777777" w:rsidR="003658A7" w:rsidRPr="00CB3116" w:rsidRDefault="003658A7" w:rsidP="00864D0F">
            <w:pPr>
              <w:spacing w:line="276" w:lineRule="auto"/>
              <w:rPr>
                <w:rFonts w:asciiTheme="minorBidi" w:hAnsiTheme="minorBidi" w:cstheme="minorBidi"/>
                <w:b/>
                <w:color w:val="0000FF"/>
                <w:szCs w:val="18"/>
              </w:rPr>
            </w:pPr>
            <w:r w:rsidRPr="00CB3116">
              <w:rPr>
                <w:rFonts w:asciiTheme="minorBidi" w:hAnsiTheme="minorBidi" w:cstheme="minorBidi"/>
                <w:b/>
                <w:color w:val="0000FF"/>
                <w:szCs w:val="18"/>
              </w:rPr>
              <w:t>Answer</w:t>
            </w:r>
          </w:p>
        </w:tc>
        <w:tc>
          <w:tcPr>
            <w:tcW w:w="8079" w:type="dxa"/>
            <w:shd w:val="clear" w:color="auto" w:fill="auto"/>
            <w:tcMar>
              <w:top w:w="57" w:type="dxa"/>
              <w:bottom w:w="57" w:type="dxa"/>
            </w:tcMar>
          </w:tcPr>
          <w:p w14:paraId="75458940" w14:textId="77777777" w:rsidR="003658A7" w:rsidRPr="00CB3116" w:rsidRDefault="003658A7" w:rsidP="00864D0F">
            <w:pPr>
              <w:spacing w:line="276" w:lineRule="auto"/>
              <w:rPr>
                <w:rFonts w:asciiTheme="minorBidi" w:hAnsiTheme="minorBidi" w:cstheme="minorBidi"/>
                <w:color w:val="000000" w:themeColor="text1"/>
                <w:szCs w:val="18"/>
              </w:rPr>
            </w:pPr>
            <w:r w:rsidRPr="00CB3116">
              <w:rPr>
                <w:rFonts w:asciiTheme="minorBidi" w:hAnsiTheme="minorBidi" w:cstheme="minorBidi"/>
                <w:color w:val="000000" w:themeColor="text1"/>
                <w:szCs w:val="18"/>
              </w:rPr>
              <w:t>We sincerely thank the reviewer for their valuable suggestion. To enhance clarity and accurately reflect the study’s focus, we have revised the manuscript title to explicitly mention "Cobalt Oxide Supported on Activated Carbon</w:t>
            </w:r>
          </w:p>
        </w:tc>
      </w:tr>
      <w:tr w:rsidR="003658A7" w:rsidRPr="00CB3116" w14:paraId="4793D7C6" w14:textId="77777777" w:rsidTr="00BA4EF5">
        <w:tc>
          <w:tcPr>
            <w:tcW w:w="1555" w:type="dxa"/>
            <w:shd w:val="clear" w:color="auto" w:fill="auto"/>
            <w:tcMar>
              <w:top w:w="57" w:type="dxa"/>
              <w:bottom w:w="57" w:type="dxa"/>
            </w:tcMar>
          </w:tcPr>
          <w:p w14:paraId="6BEDF1BB" w14:textId="77777777" w:rsidR="003658A7" w:rsidRPr="00CB3116" w:rsidRDefault="003658A7" w:rsidP="00864D0F">
            <w:pPr>
              <w:spacing w:line="276" w:lineRule="auto"/>
              <w:rPr>
                <w:rFonts w:asciiTheme="minorBidi" w:hAnsiTheme="minorBidi" w:cstheme="minorBidi"/>
                <w:b/>
                <w:color w:val="0000FF"/>
                <w:szCs w:val="18"/>
              </w:rPr>
            </w:pPr>
            <w:r w:rsidRPr="00CB3116">
              <w:rPr>
                <w:rFonts w:asciiTheme="minorBidi" w:hAnsiTheme="minorBidi" w:cstheme="minorBidi"/>
                <w:b/>
                <w:color w:val="0000FF"/>
                <w:szCs w:val="18"/>
              </w:rPr>
              <w:t>Changes made</w:t>
            </w:r>
          </w:p>
        </w:tc>
        <w:tc>
          <w:tcPr>
            <w:tcW w:w="8079" w:type="dxa"/>
            <w:shd w:val="clear" w:color="auto" w:fill="auto"/>
            <w:tcMar>
              <w:top w:w="57" w:type="dxa"/>
              <w:bottom w:w="57" w:type="dxa"/>
            </w:tcMar>
          </w:tcPr>
          <w:p w14:paraId="225F92EA" w14:textId="77777777" w:rsidR="003658A7" w:rsidRPr="00CB3116" w:rsidRDefault="003658A7" w:rsidP="00864D0F">
            <w:pPr>
              <w:spacing w:line="276" w:lineRule="auto"/>
              <w:rPr>
                <w:rFonts w:asciiTheme="minorBidi" w:hAnsiTheme="minorBidi" w:cstheme="minorBidi"/>
                <w:b/>
                <w:color w:val="0000FF"/>
                <w:szCs w:val="18"/>
              </w:rPr>
            </w:pPr>
            <w:r w:rsidRPr="00CB3116">
              <w:rPr>
                <w:rFonts w:asciiTheme="minorBidi" w:hAnsiTheme="minorBidi" w:cstheme="minorBidi"/>
                <w:b/>
                <w:color w:val="0000FF"/>
                <w:szCs w:val="18"/>
              </w:rPr>
              <w:t>The manuscript title has been updated accordingly.</w:t>
            </w:r>
          </w:p>
        </w:tc>
      </w:tr>
      <w:tr w:rsidR="003658A7" w:rsidRPr="00CB3116" w14:paraId="12A59634" w14:textId="77777777" w:rsidTr="00BA4EF5">
        <w:tc>
          <w:tcPr>
            <w:tcW w:w="1555" w:type="dxa"/>
            <w:shd w:val="clear" w:color="auto" w:fill="D9D9D9" w:themeFill="background1" w:themeFillShade="D9"/>
            <w:tcMar>
              <w:top w:w="57" w:type="dxa"/>
              <w:bottom w:w="57" w:type="dxa"/>
            </w:tcMar>
          </w:tcPr>
          <w:p w14:paraId="0DC9ACB0" w14:textId="77777777" w:rsidR="003658A7" w:rsidRPr="00CB3116" w:rsidRDefault="003658A7" w:rsidP="00864D0F">
            <w:pPr>
              <w:spacing w:line="276" w:lineRule="auto"/>
              <w:rPr>
                <w:rFonts w:asciiTheme="minorBidi" w:hAnsiTheme="minorBidi" w:cstheme="minorBidi"/>
                <w:b/>
                <w:szCs w:val="18"/>
              </w:rPr>
            </w:pPr>
            <w:r w:rsidRPr="00CB3116">
              <w:rPr>
                <w:rFonts w:asciiTheme="minorBidi" w:hAnsiTheme="minorBidi" w:cstheme="minorBidi"/>
                <w:b/>
                <w:szCs w:val="18"/>
              </w:rPr>
              <w:t>Reviewer #1</w:t>
            </w:r>
          </w:p>
          <w:p w14:paraId="0CF282AE" w14:textId="77777777" w:rsidR="003658A7" w:rsidRPr="00CB3116" w:rsidRDefault="003658A7" w:rsidP="00864D0F">
            <w:pPr>
              <w:spacing w:line="276" w:lineRule="auto"/>
              <w:rPr>
                <w:rFonts w:asciiTheme="minorBidi" w:hAnsiTheme="minorBidi" w:cstheme="minorBidi"/>
                <w:b/>
                <w:color w:val="0000FF"/>
                <w:szCs w:val="18"/>
              </w:rPr>
            </w:pPr>
            <w:r w:rsidRPr="00CB3116">
              <w:rPr>
                <w:rFonts w:asciiTheme="minorBidi" w:hAnsiTheme="minorBidi" w:cstheme="minorBidi"/>
                <w:b/>
                <w:szCs w:val="18"/>
              </w:rPr>
              <w:t>Comment 2</w:t>
            </w:r>
          </w:p>
        </w:tc>
        <w:tc>
          <w:tcPr>
            <w:tcW w:w="8079" w:type="dxa"/>
            <w:shd w:val="clear" w:color="auto" w:fill="D9D9D9" w:themeFill="background1" w:themeFillShade="D9"/>
            <w:tcMar>
              <w:top w:w="57" w:type="dxa"/>
              <w:bottom w:w="57" w:type="dxa"/>
            </w:tcMar>
          </w:tcPr>
          <w:p w14:paraId="4E8BFD2A" w14:textId="77777777" w:rsidR="003658A7" w:rsidRPr="00CB3116" w:rsidRDefault="003658A7" w:rsidP="00864D0F">
            <w:pPr>
              <w:spacing w:line="276" w:lineRule="auto"/>
              <w:rPr>
                <w:rFonts w:asciiTheme="minorBidi" w:hAnsiTheme="minorBidi" w:cstheme="minorBidi"/>
                <w:szCs w:val="18"/>
              </w:rPr>
            </w:pPr>
            <w:r w:rsidRPr="00CB3116">
              <w:rPr>
                <w:rFonts w:asciiTheme="minorBidi" w:hAnsiTheme="minorBidi" w:cstheme="minorBidi"/>
                <w:szCs w:val="18"/>
              </w:rPr>
              <w:t>The content in introduction section is rather general. The use of activated carbon should</w:t>
            </w:r>
          </w:p>
          <w:p w14:paraId="6B7C17AF" w14:textId="77777777" w:rsidR="003658A7" w:rsidRPr="00CB3116" w:rsidRDefault="003658A7" w:rsidP="00864D0F">
            <w:pPr>
              <w:spacing w:line="276" w:lineRule="auto"/>
              <w:rPr>
                <w:rFonts w:asciiTheme="minorBidi" w:hAnsiTheme="minorBidi" w:cstheme="minorBidi"/>
                <w:b/>
                <w:color w:val="0000FF"/>
                <w:szCs w:val="18"/>
              </w:rPr>
            </w:pPr>
            <w:r w:rsidRPr="00CB3116">
              <w:rPr>
                <w:rFonts w:asciiTheme="minorBidi" w:hAnsiTheme="minorBidi" w:cstheme="minorBidi"/>
                <w:szCs w:val="18"/>
              </w:rPr>
              <w:t>be discussed to explain why activated carbon is chosen as support for this study.</w:t>
            </w:r>
          </w:p>
        </w:tc>
      </w:tr>
      <w:tr w:rsidR="003658A7" w:rsidRPr="00CB3116" w14:paraId="1EE06346" w14:textId="77777777" w:rsidTr="00BA4EF5">
        <w:tc>
          <w:tcPr>
            <w:tcW w:w="1555" w:type="dxa"/>
            <w:shd w:val="clear" w:color="auto" w:fill="auto"/>
            <w:tcMar>
              <w:top w:w="57" w:type="dxa"/>
              <w:bottom w:w="57" w:type="dxa"/>
            </w:tcMar>
          </w:tcPr>
          <w:p w14:paraId="758005A8" w14:textId="77777777" w:rsidR="003658A7" w:rsidRPr="00CB3116" w:rsidRDefault="003658A7" w:rsidP="00864D0F">
            <w:pPr>
              <w:spacing w:line="276" w:lineRule="auto"/>
              <w:rPr>
                <w:rFonts w:asciiTheme="minorBidi" w:hAnsiTheme="minorBidi" w:cstheme="minorBidi"/>
                <w:b/>
                <w:color w:val="0000FF"/>
                <w:szCs w:val="18"/>
              </w:rPr>
            </w:pPr>
            <w:r w:rsidRPr="00CB3116">
              <w:rPr>
                <w:rFonts w:asciiTheme="minorBidi" w:hAnsiTheme="minorBidi" w:cstheme="minorBidi"/>
                <w:b/>
                <w:color w:val="0000FF"/>
                <w:szCs w:val="18"/>
              </w:rPr>
              <w:t>Answer</w:t>
            </w:r>
          </w:p>
        </w:tc>
        <w:tc>
          <w:tcPr>
            <w:tcW w:w="8079" w:type="dxa"/>
            <w:shd w:val="clear" w:color="auto" w:fill="auto"/>
            <w:tcMar>
              <w:top w:w="57" w:type="dxa"/>
              <w:bottom w:w="57" w:type="dxa"/>
            </w:tcMar>
          </w:tcPr>
          <w:p w14:paraId="4B65E3C9" w14:textId="77777777" w:rsidR="003658A7" w:rsidRPr="00CB3116" w:rsidRDefault="003658A7" w:rsidP="00864D0F">
            <w:pPr>
              <w:spacing w:line="276" w:lineRule="auto"/>
              <w:rPr>
                <w:rFonts w:asciiTheme="minorBidi" w:hAnsiTheme="minorBidi" w:cstheme="minorBidi"/>
                <w:color w:val="000000" w:themeColor="text1"/>
                <w:szCs w:val="18"/>
              </w:rPr>
            </w:pPr>
            <w:r w:rsidRPr="00CB3116">
              <w:rPr>
                <w:rFonts w:asciiTheme="minorBidi" w:hAnsiTheme="minorBidi" w:cstheme="minorBidi"/>
                <w:color w:val="000000" w:themeColor="text1"/>
                <w:szCs w:val="18"/>
              </w:rPr>
              <w:t xml:space="preserve">We sincerely appreciate the reviewer’s insightful comment. To provide a clearer rationale for selecting activated carbon as a support material, we have expanded the introduction. Activated carbon was chosen due to its high surface area, ability to prevent particle aggregation, and </w:t>
            </w:r>
            <w:proofErr w:type="spellStart"/>
            <w:r w:rsidRPr="00CB3116">
              <w:rPr>
                <w:rFonts w:asciiTheme="minorBidi" w:hAnsiTheme="minorBidi" w:cstheme="minorBidi"/>
                <w:color w:val="000000" w:themeColor="text1"/>
                <w:szCs w:val="18"/>
              </w:rPr>
              <w:t>favorable</w:t>
            </w:r>
            <w:proofErr w:type="spellEnd"/>
            <w:r w:rsidRPr="00CB3116">
              <w:rPr>
                <w:rFonts w:asciiTheme="minorBidi" w:hAnsiTheme="minorBidi" w:cstheme="minorBidi"/>
                <w:color w:val="000000" w:themeColor="text1"/>
                <w:szCs w:val="18"/>
              </w:rPr>
              <w:t xml:space="preserve"> thermal properties, which collectively enhance the catalytic activity of cobalt oxide.</w:t>
            </w:r>
          </w:p>
        </w:tc>
      </w:tr>
      <w:tr w:rsidR="003658A7" w:rsidRPr="00CB3116" w14:paraId="2032A8D6" w14:textId="77777777" w:rsidTr="00BA4EF5">
        <w:tc>
          <w:tcPr>
            <w:tcW w:w="1555" w:type="dxa"/>
            <w:shd w:val="clear" w:color="auto" w:fill="auto"/>
            <w:tcMar>
              <w:top w:w="57" w:type="dxa"/>
              <w:bottom w:w="57" w:type="dxa"/>
            </w:tcMar>
          </w:tcPr>
          <w:p w14:paraId="214D3253" w14:textId="77777777" w:rsidR="003658A7" w:rsidRPr="00CB3116" w:rsidRDefault="003658A7" w:rsidP="00864D0F">
            <w:pPr>
              <w:spacing w:line="276" w:lineRule="auto"/>
              <w:rPr>
                <w:rFonts w:asciiTheme="minorBidi" w:hAnsiTheme="minorBidi" w:cstheme="minorBidi"/>
                <w:b/>
                <w:color w:val="0000FF"/>
                <w:szCs w:val="18"/>
              </w:rPr>
            </w:pPr>
            <w:r w:rsidRPr="00CB3116">
              <w:rPr>
                <w:rFonts w:asciiTheme="minorBidi" w:hAnsiTheme="minorBidi" w:cstheme="minorBidi"/>
                <w:b/>
                <w:color w:val="0000FF"/>
                <w:szCs w:val="18"/>
              </w:rPr>
              <w:t>Changes made</w:t>
            </w:r>
          </w:p>
        </w:tc>
        <w:tc>
          <w:tcPr>
            <w:tcW w:w="8079" w:type="dxa"/>
            <w:shd w:val="clear" w:color="auto" w:fill="auto"/>
            <w:tcMar>
              <w:top w:w="57" w:type="dxa"/>
              <w:bottom w:w="57" w:type="dxa"/>
            </w:tcMar>
          </w:tcPr>
          <w:p w14:paraId="29904EFA" w14:textId="77777777" w:rsidR="003658A7" w:rsidRPr="00CB3116" w:rsidRDefault="003658A7" w:rsidP="00864D0F">
            <w:pPr>
              <w:spacing w:line="276" w:lineRule="auto"/>
              <w:rPr>
                <w:rFonts w:asciiTheme="minorBidi" w:hAnsiTheme="minorBidi" w:cstheme="minorBidi"/>
                <w:b/>
                <w:color w:val="0000FF"/>
                <w:szCs w:val="18"/>
              </w:rPr>
            </w:pPr>
            <w:r w:rsidRPr="00CB3116">
              <w:rPr>
                <w:rFonts w:asciiTheme="minorBidi" w:hAnsiTheme="minorBidi" w:cstheme="minorBidi"/>
                <w:b/>
                <w:color w:val="0000FF"/>
                <w:szCs w:val="18"/>
              </w:rPr>
              <w:t>A discussion on the advantages of activated carbon has been added to the introduction.</w:t>
            </w:r>
          </w:p>
        </w:tc>
      </w:tr>
      <w:tr w:rsidR="003658A7" w:rsidRPr="00CB3116" w14:paraId="0C94C360" w14:textId="77777777" w:rsidTr="00BA4EF5">
        <w:tc>
          <w:tcPr>
            <w:tcW w:w="1555" w:type="dxa"/>
            <w:shd w:val="clear" w:color="auto" w:fill="D9D9D9" w:themeFill="background1" w:themeFillShade="D9"/>
            <w:tcMar>
              <w:top w:w="57" w:type="dxa"/>
              <w:bottom w:w="57" w:type="dxa"/>
            </w:tcMar>
          </w:tcPr>
          <w:p w14:paraId="5283CF51" w14:textId="77777777" w:rsidR="003658A7" w:rsidRPr="00CB3116" w:rsidRDefault="003658A7" w:rsidP="00864D0F">
            <w:pPr>
              <w:spacing w:line="276" w:lineRule="auto"/>
              <w:rPr>
                <w:rFonts w:asciiTheme="minorBidi" w:hAnsiTheme="minorBidi" w:cstheme="minorBidi"/>
                <w:b/>
                <w:szCs w:val="18"/>
              </w:rPr>
            </w:pPr>
            <w:r w:rsidRPr="00CB3116">
              <w:rPr>
                <w:rFonts w:asciiTheme="minorBidi" w:hAnsiTheme="minorBidi" w:cstheme="minorBidi"/>
                <w:b/>
                <w:szCs w:val="18"/>
              </w:rPr>
              <w:t>Reviewer #1</w:t>
            </w:r>
          </w:p>
          <w:p w14:paraId="25B52B65" w14:textId="77777777" w:rsidR="003658A7" w:rsidRPr="00CB3116" w:rsidRDefault="003658A7" w:rsidP="00864D0F">
            <w:pPr>
              <w:spacing w:line="276" w:lineRule="auto"/>
              <w:rPr>
                <w:rFonts w:asciiTheme="minorBidi" w:hAnsiTheme="minorBidi" w:cstheme="minorBidi"/>
                <w:bCs/>
                <w:color w:val="000000" w:themeColor="text1"/>
                <w:szCs w:val="18"/>
              </w:rPr>
            </w:pPr>
            <w:r w:rsidRPr="00CB3116">
              <w:rPr>
                <w:rFonts w:asciiTheme="minorBidi" w:hAnsiTheme="minorBidi" w:cstheme="minorBidi"/>
                <w:b/>
                <w:szCs w:val="18"/>
              </w:rPr>
              <w:t>Comment 3</w:t>
            </w:r>
          </w:p>
        </w:tc>
        <w:tc>
          <w:tcPr>
            <w:tcW w:w="8079" w:type="dxa"/>
            <w:shd w:val="clear" w:color="auto" w:fill="D9D9D9" w:themeFill="background1" w:themeFillShade="D9"/>
            <w:tcMar>
              <w:top w:w="57" w:type="dxa"/>
              <w:bottom w:w="57" w:type="dxa"/>
            </w:tcMar>
          </w:tcPr>
          <w:p w14:paraId="324E9AC8" w14:textId="77777777" w:rsidR="003658A7" w:rsidRPr="00CB3116" w:rsidRDefault="003658A7" w:rsidP="00864D0F">
            <w:pPr>
              <w:spacing w:line="276" w:lineRule="auto"/>
              <w:rPr>
                <w:rFonts w:asciiTheme="minorBidi" w:hAnsiTheme="minorBidi" w:cstheme="minorBidi"/>
                <w:bCs/>
                <w:color w:val="000000" w:themeColor="text1"/>
                <w:szCs w:val="18"/>
              </w:rPr>
            </w:pPr>
            <w:r w:rsidRPr="00CB3116">
              <w:rPr>
                <w:rFonts w:asciiTheme="minorBidi" w:hAnsiTheme="minorBidi" w:cstheme="minorBidi"/>
                <w:bCs/>
                <w:color w:val="000000" w:themeColor="text1"/>
                <w:szCs w:val="18"/>
              </w:rPr>
              <w:t>More detail experiment procedure on the solvent-free milling process is required. For instance, the milling conditions were not included in the methodology section, such as the milling temperature, speed, use of any additional bonding agent, etc.</w:t>
            </w:r>
          </w:p>
        </w:tc>
      </w:tr>
      <w:tr w:rsidR="003658A7" w:rsidRPr="00CB3116" w14:paraId="05CC970B" w14:textId="77777777" w:rsidTr="00BA4EF5">
        <w:tc>
          <w:tcPr>
            <w:tcW w:w="1555" w:type="dxa"/>
            <w:shd w:val="clear" w:color="auto" w:fill="auto"/>
            <w:tcMar>
              <w:top w:w="57" w:type="dxa"/>
              <w:bottom w:w="57" w:type="dxa"/>
            </w:tcMar>
          </w:tcPr>
          <w:p w14:paraId="4217EFC0" w14:textId="77777777" w:rsidR="003658A7" w:rsidRPr="00CB3116" w:rsidRDefault="003658A7" w:rsidP="00864D0F">
            <w:pPr>
              <w:spacing w:line="276" w:lineRule="auto"/>
              <w:rPr>
                <w:rFonts w:asciiTheme="minorBidi" w:hAnsiTheme="minorBidi" w:cstheme="minorBidi"/>
                <w:b/>
                <w:color w:val="0000FF"/>
                <w:szCs w:val="18"/>
              </w:rPr>
            </w:pPr>
            <w:r w:rsidRPr="00CB3116">
              <w:rPr>
                <w:rFonts w:asciiTheme="minorBidi" w:hAnsiTheme="minorBidi" w:cstheme="minorBidi"/>
                <w:b/>
                <w:color w:val="0000FF"/>
                <w:szCs w:val="18"/>
              </w:rPr>
              <w:lastRenderedPageBreak/>
              <w:t>Answer</w:t>
            </w:r>
          </w:p>
        </w:tc>
        <w:tc>
          <w:tcPr>
            <w:tcW w:w="8079" w:type="dxa"/>
            <w:shd w:val="clear" w:color="auto" w:fill="auto"/>
            <w:tcMar>
              <w:top w:w="57" w:type="dxa"/>
              <w:bottom w:w="57" w:type="dxa"/>
            </w:tcMar>
          </w:tcPr>
          <w:p w14:paraId="2B55633B" w14:textId="77777777" w:rsidR="003658A7" w:rsidRPr="00CB3116" w:rsidRDefault="003658A7" w:rsidP="00864D0F">
            <w:pPr>
              <w:spacing w:line="276" w:lineRule="auto"/>
              <w:rPr>
                <w:rFonts w:asciiTheme="minorBidi" w:hAnsiTheme="minorBidi" w:cstheme="minorBidi"/>
                <w:bCs/>
                <w:color w:val="000000" w:themeColor="text1"/>
                <w:szCs w:val="18"/>
              </w:rPr>
            </w:pPr>
            <w:r w:rsidRPr="00CB3116">
              <w:rPr>
                <w:rFonts w:asciiTheme="minorBidi" w:hAnsiTheme="minorBidi" w:cstheme="minorBidi"/>
                <w:bCs/>
                <w:color w:val="000000" w:themeColor="text1"/>
                <w:szCs w:val="18"/>
              </w:rPr>
              <w:t>We sincerely thank the reviewer for highlighting this point. We have now provided additional details on the solvent-free milling process, including the milling temperature, rotation speed, and duration. No additional bonding agents were used in this process.</w:t>
            </w:r>
          </w:p>
        </w:tc>
      </w:tr>
      <w:tr w:rsidR="003658A7" w:rsidRPr="00CB3116" w14:paraId="59C52654" w14:textId="77777777" w:rsidTr="00BA4EF5">
        <w:tc>
          <w:tcPr>
            <w:tcW w:w="1555" w:type="dxa"/>
            <w:shd w:val="clear" w:color="auto" w:fill="auto"/>
            <w:tcMar>
              <w:top w:w="57" w:type="dxa"/>
              <w:bottom w:w="57" w:type="dxa"/>
            </w:tcMar>
          </w:tcPr>
          <w:p w14:paraId="14CB34D9" w14:textId="77777777" w:rsidR="003658A7" w:rsidRPr="00CB3116" w:rsidRDefault="003658A7" w:rsidP="00864D0F">
            <w:pPr>
              <w:spacing w:line="276" w:lineRule="auto"/>
              <w:rPr>
                <w:rFonts w:asciiTheme="minorBidi" w:hAnsiTheme="minorBidi" w:cstheme="minorBidi"/>
                <w:b/>
                <w:color w:val="0000FF"/>
                <w:szCs w:val="18"/>
              </w:rPr>
            </w:pPr>
            <w:r w:rsidRPr="00CB3116">
              <w:rPr>
                <w:rFonts w:asciiTheme="minorBidi" w:hAnsiTheme="minorBidi" w:cstheme="minorBidi"/>
                <w:b/>
                <w:color w:val="0000FF"/>
                <w:szCs w:val="18"/>
              </w:rPr>
              <w:t>Changes made</w:t>
            </w:r>
          </w:p>
        </w:tc>
        <w:tc>
          <w:tcPr>
            <w:tcW w:w="8079" w:type="dxa"/>
            <w:shd w:val="clear" w:color="auto" w:fill="auto"/>
            <w:tcMar>
              <w:top w:w="57" w:type="dxa"/>
              <w:bottom w:w="57" w:type="dxa"/>
            </w:tcMar>
          </w:tcPr>
          <w:p w14:paraId="52B736FB" w14:textId="77777777" w:rsidR="003658A7" w:rsidRPr="00CB3116" w:rsidRDefault="003658A7" w:rsidP="00864D0F">
            <w:pPr>
              <w:spacing w:line="276" w:lineRule="auto"/>
              <w:rPr>
                <w:rFonts w:asciiTheme="minorBidi" w:hAnsiTheme="minorBidi" w:cstheme="minorBidi"/>
                <w:b/>
                <w:color w:val="0000FF"/>
                <w:szCs w:val="18"/>
              </w:rPr>
            </w:pPr>
            <w:r w:rsidRPr="00CB3116">
              <w:rPr>
                <w:rFonts w:asciiTheme="minorBidi" w:hAnsiTheme="minorBidi" w:cstheme="minorBidi"/>
                <w:b/>
                <w:color w:val="0000FF"/>
                <w:szCs w:val="18"/>
              </w:rPr>
              <w:t>Milling conditions have been detailed in the experimental section.</w:t>
            </w:r>
          </w:p>
        </w:tc>
      </w:tr>
      <w:tr w:rsidR="003658A7" w:rsidRPr="00CB3116" w14:paraId="649238D5" w14:textId="77777777" w:rsidTr="00BA4EF5">
        <w:tc>
          <w:tcPr>
            <w:tcW w:w="1555" w:type="dxa"/>
            <w:shd w:val="clear" w:color="auto" w:fill="D9D9D9" w:themeFill="background1" w:themeFillShade="D9"/>
            <w:tcMar>
              <w:top w:w="57" w:type="dxa"/>
              <w:bottom w:w="57" w:type="dxa"/>
            </w:tcMar>
          </w:tcPr>
          <w:p w14:paraId="7B5C5AF9" w14:textId="77777777" w:rsidR="003658A7" w:rsidRPr="00CB3116" w:rsidRDefault="003658A7" w:rsidP="00864D0F">
            <w:pPr>
              <w:spacing w:line="276" w:lineRule="auto"/>
              <w:rPr>
                <w:rFonts w:asciiTheme="minorBidi" w:hAnsiTheme="minorBidi" w:cstheme="minorBidi"/>
                <w:b/>
                <w:szCs w:val="18"/>
              </w:rPr>
            </w:pPr>
            <w:r w:rsidRPr="00CB3116">
              <w:rPr>
                <w:rFonts w:asciiTheme="minorBidi" w:hAnsiTheme="minorBidi" w:cstheme="minorBidi"/>
                <w:b/>
                <w:szCs w:val="18"/>
              </w:rPr>
              <w:t>Reviewer #1</w:t>
            </w:r>
          </w:p>
          <w:p w14:paraId="211B0955" w14:textId="77777777" w:rsidR="003658A7" w:rsidRPr="00CB3116" w:rsidRDefault="003658A7" w:rsidP="00864D0F">
            <w:pPr>
              <w:spacing w:line="276" w:lineRule="auto"/>
              <w:rPr>
                <w:rFonts w:asciiTheme="minorBidi" w:hAnsiTheme="minorBidi" w:cstheme="minorBidi"/>
                <w:b/>
                <w:szCs w:val="18"/>
              </w:rPr>
            </w:pPr>
            <w:r w:rsidRPr="00CB3116">
              <w:rPr>
                <w:rFonts w:asciiTheme="minorBidi" w:hAnsiTheme="minorBidi" w:cstheme="minorBidi"/>
                <w:b/>
                <w:szCs w:val="18"/>
              </w:rPr>
              <w:t>Comment 4</w:t>
            </w:r>
          </w:p>
        </w:tc>
        <w:tc>
          <w:tcPr>
            <w:tcW w:w="8079" w:type="dxa"/>
            <w:shd w:val="clear" w:color="auto" w:fill="D9D9D9" w:themeFill="background1" w:themeFillShade="D9"/>
            <w:tcMar>
              <w:top w:w="57" w:type="dxa"/>
              <w:bottom w:w="57" w:type="dxa"/>
            </w:tcMar>
          </w:tcPr>
          <w:p w14:paraId="2541B38F" w14:textId="77777777" w:rsidR="003658A7" w:rsidRPr="00CB3116" w:rsidRDefault="003658A7" w:rsidP="00864D0F">
            <w:pPr>
              <w:spacing w:line="276" w:lineRule="auto"/>
              <w:rPr>
                <w:rFonts w:asciiTheme="minorBidi" w:hAnsiTheme="minorBidi" w:cstheme="minorBidi"/>
                <w:bCs/>
                <w:color w:val="000000" w:themeColor="text1"/>
                <w:szCs w:val="18"/>
              </w:rPr>
            </w:pPr>
            <w:r w:rsidRPr="00CB3116">
              <w:rPr>
                <w:rFonts w:asciiTheme="minorBidi" w:hAnsiTheme="minorBidi" w:cstheme="minorBidi"/>
                <w:bCs/>
                <w:color w:val="000000" w:themeColor="text1"/>
                <w:szCs w:val="18"/>
              </w:rPr>
              <w:t xml:space="preserve">From the DSC results, it is noted that introducing the AC-CoO only reduces the peak decomposition temperature of 2.2°C (from 214.9 to 212.7°C). Could this reduction </w:t>
            </w:r>
            <w:proofErr w:type="gramStart"/>
            <w:r w:rsidRPr="00CB3116">
              <w:rPr>
                <w:rFonts w:asciiTheme="minorBidi" w:hAnsiTheme="minorBidi" w:cstheme="minorBidi"/>
                <w:bCs/>
                <w:color w:val="000000" w:themeColor="text1"/>
                <w:szCs w:val="18"/>
              </w:rPr>
              <w:t>contributed</w:t>
            </w:r>
            <w:proofErr w:type="gramEnd"/>
            <w:r w:rsidRPr="00CB3116">
              <w:rPr>
                <w:rFonts w:asciiTheme="minorBidi" w:hAnsiTheme="minorBidi" w:cstheme="minorBidi"/>
                <w:bCs/>
                <w:color w:val="000000" w:themeColor="text1"/>
                <w:szCs w:val="18"/>
              </w:rPr>
              <w:t xml:space="preserve"> by the decomposition of activated carbon which has decomposition temperature point lower than nitrocellulose and cobalt oxide? The reduction in temperature is not very significant, it would be good to include brief analysis comparing this data with results reported in existing literature?</w:t>
            </w:r>
          </w:p>
        </w:tc>
      </w:tr>
      <w:tr w:rsidR="003658A7" w:rsidRPr="00CB3116" w14:paraId="3CBCCA23" w14:textId="77777777" w:rsidTr="00BA4EF5">
        <w:tc>
          <w:tcPr>
            <w:tcW w:w="1555" w:type="dxa"/>
            <w:shd w:val="clear" w:color="auto" w:fill="auto"/>
            <w:tcMar>
              <w:top w:w="57" w:type="dxa"/>
              <w:bottom w:w="57" w:type="dxa"/>
            </w:tcMar>
          </w:tcPr>
          <w:p w14:paraId="589B32F2" w14:textId="77777777" w:rsidR="003658A7" w:rsidRPr="00CB3116" w:rsidRDefault="003658A7" w:rsidP="00864D0F">
            <w:pPr>
              <w:spacing w:line="276" w:lineRule="auto"/>
              <w:rPr>
                <w:rFonts w:asciiTheme="minorBidi" w:hAnsiTheme="minorBidi" w:cstheme="minorBidi"/>
                <w:bCs/>
                <w:color w:val="000000" w:themeColor="text1"/>
                <w:szCs w:val="18"/>
              </w:rPr>
            </w:pPr>
            <w:r w:rsidRPr="00CB3116">
              <w:rPr>
                <w:rFonts w:asciiTheme="minorBidi" w:hAnsiTheme="minorBidi" w:cstheme="minorBidi"/>
                <w:bCs/>
                <w:color w:val="000000" w:themeColor="text1"/>
                <w:szCs w:val="18"/>
              </w:rPr>
              <w:t>Answer</w:t>
            </w:r>
          </w:p>
        </w:tc>
        <w:tc>
          <w:tcPr>
            <w:tcW w:w="8079" w:type="dxa"/>
            <w:shd w:val="clear" w:color="auto" w:fill="auto"/>
            <w:tcMar>
              <w:top w:w="57" w:type="dxa"/>
              <w:bottom w:w="57" w:type="dxa"/>
            </w:tcMar>
          </w:tcPr>
          <w:p w14:paraId="54FE5983" w14:textId="77777777" w:rsidR="003658A7" w:rsidRPr="00CB3116" w:rsidRDefault="003658A7" w:rsidP="00864D0F">
            <w:pPr>
              <w:spacing w:line="276" w:lineRule="auto"/>
              <w:rPr>
                <w:rFonts w:asciiTheme="minorBidi" w:hAnsiTheme="minorBidi" w:cstheme="minorBidi"/>
                <w:bCs/>
                <w:color w:val="000000" w:themeColor="text1"/>
                <w:szCs w:val="18"/>
              </w:rPr>
            </w:pPr>
            <w:r w:rsidRPr="00CB3116">
              <w:rPr>
                <w:rFonts w:asciiTheme="minorBidi" w:hAnsiTheme="minorBidi" w:cstheme="minorBidi"/>
                <w:bCs/>
                <w:color w:val="000000" w:themeColor="text1"/>
                <w:szCs w:val="18"/>
              </w:rPr>
              <w:t>We are grateful to the reviewer for this thoughtful observation. While the reduction in peak decomposition temperature (2.2°C) is moderate, it aligns with findings from previous studies on catalytic decomposition of nitrocellulose. We have now a comparison with relevant literature.</w:t>
            </w:r>
          </w:p>
        </w:tc>
      </w:tr>
      <w:tr w:rsidR="003658A7" w:rsidRPr="00CB3116" w14:paraId="6652ECB7" w14:textId="77777777" w:rsidTr="00BA4EF5">
        <w:tc>
          <w:tcPr>
            <w:tcW w:w="1555" w:type="dxa"/>
            <w:shd w:val="clear" w:color="auto" w:fill="auto"/>
            <w:tcMar>
              <w:top w:w="57" w:type="dxa"/>
              <w:bottom w:w="57" w:type="dxa"/>
            </w:tcMar>
          </w:tcPr>
          <w:p w14:paraId="31A3687F" w14:textId="77777777" w:rsidR="003658A7" w:rsidRPr="00CB3116" w:rsidRDefault="003658A7" w:rsidP="00864D0F">
            <w:pPr>
              <w:spacing w:line="276" w:lineRule="auto"/>
              <w:rPr>
                <w:rFonts w:asciiTheme="minorBidi" w:hAnsiTheme="minorBidi" w:cstheme="minorBidi"/>
                <w:b/>
                <w:color w:val="0000FF"/>
                <w:szCs w:val="18"/>
              </w:rPr>
            </w:pPr>
            <w:r w:rsidRPr="00CB3116">
              <w:rPr>
                <w:rFonts w:asciiTheme="minorBidi" w:hAnsiTheme="minorBidi" w:cstheme="minorBidi"/>
                <w:b/>
                <w:color w:val="0000FF"/>
                <w:szCs w:val="18"/>
              </w:rPr>
              <w:t>Changes made</w:t>
            </w:r>
          </w:p>
        </w:tc>
        <w:tc>
          <w:tcPr>
            <w:tcW w:w="8079" w:type="dxa"/>
            <w:shd w:val="clear" w:color="auto" w:fill="auto"/>
            <w:tcMar>
              <w:top w:w="57" w:type="dxa"/>
              <w:bottom w:w="57" w:type="dxa"/>
            </w:tcMar>
          </w:tcPr>
          <w:p w14:paraId="64ECAA6C" w14:textId="77777777" w:rsidR="003658A7" w:rsidRPr="00CB3116" w:rsidRDefault="003658A7" w:rsidP="00864D0F">
            <w:pPr>
              <w:spacing w:line="276" w:lineRule="auto"/>
              <w:rPr>
                <w:rFonts w:asciiTheme="minorBidi" w:hAnsiTheme="minorBidi" w:cstheme="minorBidi"/>
                <w:b/>
                <w:color w:val="0000FF"/>
                <w:szCs w:val="18"/>
              </w:rPr>
            </w:pPr>
            <w:r w:rsidRPr="00CB3116">
              <w:rPr>
                <w:rFonts w:asciiTheme="minorBidi" w:hAnsiTheme="minorBidi" w:cstheme="minorBidi"/>
                <w:b/>
                <w:color w:val="0000FF"/>
                <w:szCs w:val="18"/>
              </w:rPr>
              <w:t>A comparative analysis with literature data has been included</w:t>
            </w:r>
          </w:p>
        </w:tc>
      </w:tr>
      <w:tr w:rsidR="003658A7" w:rsidRPr="00CB3116" w14:paraId="186FBEB4" w14:textId="77777777" w:rsidTr="00BA4EF5">
        <w:tc>
          <w:tcPr>
            <w:tcW w:w="9634" w:type="dxa"/>
            <w:gridSpan w:val="2"/>
            <w:shd w:val="clear" w:color="auto" w:fill="000000" w:themeFill="text1"/>
            <w:tcMar>
              <w:top w:w="57" w:type="dxa"/>
              <w:bottom w:w="57" w:type="dxa"/>
            </w:tcMar>
          </w:tcPr>
          <w:p w14:paraId="16500F82" w14:textId="77777777" w:rsidR="003658A7" w:rsidRPr="00CB3116" w:rsidRDefault="003658A7" w:rsidP="00864D0F">
            <w:pPr>
              <w:spacing w:line="276" w:lineRule="auto"/>
              <w:rPr>
                <w:rFonts w:asciiTheme="minorBidi" w:hAnsiTheme="minorBidi" w:cstheme="minorBidi"/>
                <w:b/>
                <w:color w:val="0000FF"/>
                <w:szCs w:val="18"/>
              </w:rPr>
            </w:pPr>
          </w:p>
        </w:tc>
      </w:tr>
      <w:tr w:rsidR="003658A7" w:rsidRPr="00CB3116" w14:paraId="510DBE48" w14:textId="77777777" w:rsidTr="00BA4EF5">
        <w:tc>
          <w:tcPr>
            <w:tcW w:w="1555" w:type="dxa"/>
            <w:shd w:val="clear" w:color="auto" w:fill="D9D9D9"/>
            <w:tcMar>
              <w:top w:w="57" w:type="dxa"/>
              <w:bottom w:w="57" w:type="dxa"/>
            </w:tcMar>
          </w:tcPr>
          <w:p w14:paraId="11F3B604" w14:textId="77777777" w:rsidR="003658A7" w:rsidRPr="00CB3116" w:rsidRDefault="003658A7" w:rsidP="00864D0F">
            <w:pPr>
              <w:spacing w:line="276" w:lineRule="auto"/>
              <w:rPr>
                <w:rFonts w:asciiTheme="minorBidi" w:hAnsiTheme="minorBidi" w:cstheme="minorBidi"/>
                <w:b/>
                <w:color w:val="000000" w:themeColor="text1"/>
                <w:szCs w:val="18"/>
              </w:rPr>
            </w:pPr>
            <w:r w:rsidRPr="00CB3116">
              <w:rPr>
                <w:rFonts w:asciiTheme="minorBidi" w:hAnsiTheme="minorBidi" w:cstheme="minorBidi"/>
                <w:b/>
                <w:color w:val="000000" w:themeColor="text1"/>
                <w:szCs w:val="18"/>
              </w:rPr>
              <w:t>Reviewer #2</w:t>
            </w:r>
          </w:p>
          <w:p w14:paraId="4D9A7AE3" w14:textId="77777777" w:rsidR="003658A7" w:rsidRPr="00CB3116" w:rsidRDefault="003658A7" w:rsidP="00864D0F">
            <w:pPr>
              <w:spacing w:line="276" w:lineRule="auto"/>
              <w:rPr>
                <w:rFonts w:asciiTheme="minorBidi" w:hAnsiTheme="minorBidi" w:cstheme="minorBidi"/>
                <w:b/>
                <w:color w:val="000000" w:themeColor="text1"/>
                <w:szCs w:val="18"/>
              </w:rPr>
            </w:pPr>
            <w:r w:rsidRPr="00CB3116">
              <w:rPr>
                <w:rFonts w:asciiTheme="minorBidi" w:hAnsiTheme="minorBidi" w:cstheme="minorBidi"/>
                <w:b/>
                <w:color w:val="000000" w:themeColor="text1"/>
                <w:szCs w:val="18"/>
              </w:rPr>
              <w:t>Comment 1</w:t>
            </w:r>
          </w:p>
        </w:tc>
        <w:tc>
          <w:tcPr>
            <w:tcW w:w="8079" w:type="dxa"/>
            <w:shd w:val="clear" w:color="auto" w:fill="D9D9D9"/>
            <w:tcMar>
              <w:top w:w="57" w:type="dxa"/>
              <w:bottom w:w="57" w:type="dxa"/>
            </w:tcMar>
          </w:tcPr>
          <w:p w14:paraId="3A694296" w14:textId="77777777" w:rsidR="003658A7" w:rsidRPr="00CB3116" w:rsidRDefault="003658A7" w:rsidP="00864D0F">
            <w:pPr>
              <w:spacing w:line="276" w:lineRule="auto"/>
              <w:rPr>
                <w:rFonts w:asciiTheme="minorBidi" w:hAnsiTheme="minorBidi" w:cstheme="minorBidi"/>
                <w:szCs w:val="18"/>
              </w:rPr>
            </w:pPr>
            <w:r w:rsidRPr="00CB3116">
              <w:rPr>
                <w:rFonts w:asciiTheme="minorBidi" w:hAnsiTheme="minorBidi" w:cstheme="minorBidi"/>
                <w:szCs w:val="18"/>
              </w:rPr>
              <w:t>1) Scientific quality and significance of the work</w:t>
            </w:r>
          </w:p>
          <w:p w14:paraId="732C5273" w14:textId="77777777" w:rsidR="003658A7" w:rsidRPr="00CB3116" w:rsidRDefault="003658A7" w:rsidP="00864D0F">
            <w:pPr>
              <w:spacing w:line="276" w:lineRule="auto"/>
              <w:rPr>
                <w:rFonts w:asciiTheme="minorBidi" w:hAnsiTheme="minorBidi" w:cstheme="minorBidi"/>
                <w:szCs w:val="18"/>
              </w:rPr>
            </w:pPr>
            <w:r w:rsidRPr="00CB3116">
              <w:rPr>
                <w:rFonts w:asciiTheme="minorBidi" w:hAnsiTheme="minorBidi" w:cstheme="minorBidi"/>
                <w:szCs w:val="18"/>
              </w:rPr>
              <w:t xml:space="preserve">The study presents a thorough investigation of the catalytic effect of cobalt oxide (CoO) supported on activated carbon (AC) in the thermal decomposition of nitrocellulose (NC). The use of differential scanning calorimetry (DSC) and </w:t>
            </w:r>
            <w:proofErr w:type="spellStart"/>
            <w:r w:rsidRPr="00CB3116">
              <w:rPr>
                <w:rFonts w:asciiTheme="minorBidi" w:hAnsiTheme="minorBidi" w:cstheme="minorBidi"/>
                <w:szCs w:val="18"/>
              </w:rPr>
              <w:t>isoconversion</w:t>
            </w:r>
            <w:proofErr w:type="spellEnd"/>
            <w:r w:rsidRPr="00CB3116">
              <w:rPr>
                <w:rFonts w:asciiTheme="minorBidi" w:hAnsiTheme="minorBidi" w:cstheme="minorBidi"/>
                <w:szCs w:val="18"/>
              </w:rPr>
              <w:t xml:space="preserve"> kinetic methods provides a solid basis for </w:t>
            </w:r>
            <w:proofErr w:type="spellStart"/>
            <w:r w:rsidRPr="00CB3116">
              <w:rPr>
                <w:rFonts w:asciiTheme="minorBidi" w:hAnsiTheme="minorBidi" w:cstheme="minorBidi"/>
                <w:szCs w:val="18"/>
              </w:rPr>
              <w:t>analyzing</w:t>
            </w:r>
            <w:proofErr w:type="spellEnd"/>
            <w:r w:rsidRPr="00CB3116">
              <w:rPr>
                <w:rFonts w:asciiTheme="minorBidi" w:hAnsiTheme="minorBidi" w:cstheme="minorBidi"/>
                <w:szCs w:val="18"/>
              </w:rPr>
              <w:t xml:space="preserve"> the decomposition behavior. The results indicate a significant reduction in activation energy, demonstrating the catalytic efficiency of AC-CoO. However, a more detailed discussion comparing these results with previous studies on similar catalytic systems would strengthen the manuscript.</w:t>
            </w:r>
          </w:p>
          <w:p w14:paraId="0663FD71" w14:textId="77777777" w:rsidR="003658A7" w:rsidRPr="00CB3116" w:rsidRDefault="003658A7" w:rsidP="00864D0F">
            <w:pPr>
              <w:spacing w:line="276" w:lineRule="auto"/>
              <w:rPr>
                <w:rFonts w:asciiTheme="minorBidi" w:hAnsiTheme="minorBidi" w:cstheme="minorBidi"/>
                <w:szCs w:val="18"/>
              </w:rPr>
            </w:pPr>
            <w:r w:rsidRPr="00CB3116">
              <w:rPr>
                <w:rFonts w:asciiTheme="minorBidi" w:hAnsiTheme="minorBidi" w:cstheme="minorBidi"/>
                <w:szCs w:val="18"/>
              </w:rPr>
              <w:t>The authors should provide a deeper discussion on the catalytic mechanism, including:</w:t>
            </w:r>
          </w:p>
          <w:p w14:paraId="44FE8EAC" w14:textId="77777777" w:rsidR="003658A7" w:rsidRPr="00CB3116" w:rsidRDefault="003658A7" w:rsidP="00864D0F">
            <w:pPr>
              <w:spacing w:line="276" w:lineRule="auto"/>
              <w:rPr>
                <w:rFonts w:asciiTheme="minorBidi" w:hAnsiTheme="minorBidi" w:cstheme="minorBidi"/>
                <w:szCs w:val="18"/>
              </w:rPr>
            </w:pPr>
            <w:r w:rsidRPr="00CB3116">
              <w:rPr>
                <w:rFonts w:asciiTheme="minorBidi" w:hAnsiTheme="minorBidi" w:cstheme="minorBidi"/>
                <w:szCs w:val="18"/>
              </w:rPr>
              <w:t xml:space="preserve">- How </w:t>
            </w:r>
            <w:proofErr w:type="gramStart"/>
            <w:r w:rsidRPr="00CB3116">
              <w:rPr>
                <w:rFonts w:asciiTheme="minorBidi" w:hAnsiTheme="minorBidi" w:cstheme="minorBidi"/>
                <w:szCs w:val="18"/>
              </w:rPr>
              <w:t>does</w:t>
            </w:r>
            <w:proofErr w:type="gramEnd"/>
            <w:r w:rsidRPr="00CB3116">
              <w:rPr>
                <w:rFonts w:asciiTheme="minorBidi" w:hAnsiTheme="minorBidi" w:cstheme="minorBidi"/>
                <w:szCs w:val="18"/>
              </w:rPr>
              <w:t xml:space="preserve"> CoO interact with NC at the molecular level?</w:t>
            </w:r>
          </w:p>
          <w:p w14:paraId="74B44648" w14:textId="77777777" w:rsidR="003658A7" w:rsidRPr="00CB3116" w:rsidRDefault="003658A7" w:rsidP="00864D0F">
            <w:pPr>
              <w:spacing w:line="276" w:lineRule="auto"/>
              <w:rPr>
                <w:rFonts w:asciiTheme="minorBidi" w:hAnsiTheme="minorBidi" w:cstheme="minorBidi"/>
                <w:szCs w:val="18"/>
              </w:rPr>
            </w:pPr>
            <w:r w:rsidRPr="00CB3116">
              <w:rPr>
                <w:rFonts w:asciiTheme="minorBidi" w:hAnsiTheme="minorBidi" w:cstheme="minorBidi"/>
                <w:szCs w:val="18"/>
              </w:rPr>
              <w:t>- What is the role of activated carbon in improving catalytic performance?</w:t>
            </w:r>
          </w:p>
          <w:p w14:paraId="42F92447" w14:textId="77777777" w:rsidR="003658A7" w:rsidRPr="00CB3116" w:rsidRDefault="003658A7" w:rsidP="00864D0F">
            <w:pPr>
              <w:spacing w:line="276" w:lineRule="auto"/>
              <w:rPr>
                <w:rFonts w:asciiTheme="minorBidi" w:hAnsiTheme="minorBidi" w:cstheme="minorBidi"/>
                <w:szCs w:val="18"/>
              </w:rPr>
            </w:pPr>
            <w:r w:rsidRPr="00CB3116">
              <w:rPr>
                <w:rFonts w:asciiTheme="minorBidi" w:hAnsiTheme="minorBidi" w:cstheme="minorBidi"/>
                <w:szCs w:val="18"/>
              </w:rPr>
              <w:t>- Is the effect due to electron transfer, increased surface area, or thermal conductivity?</w:t>
            </w:r>
          </w:p>
          <w:p w14:paraId="6AF195D3" w14:textId="77777777" w:rsidR="003658A7" w:rsidRPr="00CB3116" w:rsidRDefault="003658A7" w:rsidP="00864D0F">
            <w:pPr>
              <w:spacing w:line="276" w:lineRule="auto"/>
              <w:rPr>
                <w:rFonts w:asciiTheme="minorBidi" w:hAnsiTheme="minorBidi" w:cstheme="minorBidi"/>
                <w:szCs w:val="18"/>
              </w:rPr>
            </w:pPr>
            <w:r w:rsidRPr="00CB3116">
              <w:rPr>
                <w:rFonts w:asciiTheme="minorBidi" w:hAnsiTheme="minorBidi" w:cstheme="minorBidi"/>
                <w:szCs w:val="18"/>
              </w:rPr>
              <w:t>A comparison with other metal oxides (e.g., Fe</w:t>
            </w:r>
            <w:r w:rsidRPr="00CB3116">
              <w:rPr>
                <w:rFonts w:asciiTheme="minorBidi" w:hAnsiTheme="minorBidi" w:cstheme="minorBidi"/>
                <w:szCs w:val="18"/>
                <w:vertAlign w:val="subscript"/>
              </w:rPr>
              <w:t>2</w:t>
            </w:r>
            <w:r w:rsidRPr="00CB3116">
              <w:rPr>
                <w:rFonts w:asciiTheme="minorBidi" w:hAnsiTheme="minorBidi" w:cstheme="minorBidi"/>
                <w:szCs w:val="18"/>
              </w:rPr>
              <w:t>O</w:t>
            </w:r>
            <w:proofErr w:type="gramStart"/>
            <w:r w:rsidRPr="00CB3116">
              <w:rPr>
                <w:rFonts w:asciiTheme="minorBidi" w:hAnsiTheme="minorBidi" w:cstheme="minorBidi"/>
                <w:szCs w:val="18"/>
                <w:vertAlign w:val="subscript"/>
              </w:rPr>
              <w:t>3</w:t>
            </w:r>
            <w:r w:rsidRPr="00CB3116">
              <w:rPr>
                <w:rFonts w:asciiTheme="minorBidi" w:hAnsiTheme="minorBidi" w:cstheme="minorBidi"/>
                <w:szCs w:val="18"/>
              </w:rPr>
              <w:t>;,</w:t>
            </w:r>
            <w:proofErr w:type="gramEnd"/>
            <w:r w:rsidRPr="00CB3116">
              <w:rPr>
                <w:rFonts w:asciiTheme="minorBidi" w:hAnsiTheme="minorBidi" w:cstheme="minorBidi"/>
                <w:szCs w:val="18"/>
              </w:rPr>
              <w:t xml:space="preserve"> </w:t>
            </w:r>
            <w:proofErr w:type="spellStart"/>
            <w:r w:rsidRPr="00CB3116">
              <w:rPr>
                <w:rFonts w:asciiTheme="minorBidi" w:hAnsiTheme="minorBidi" w:cstheme="minorBidi"/>
                <w:szCs w:val="18"/>
              </w:rPr>
              <w:t>ZnO</w:t>
            </w:r>
            <w:proofErr w:type="spellEnd"/>
            <w:r w:rsidRPr="00CB3116">
              <w:rPr>
                <w:rFonts w:asciiTheme="minorBidi" w:hAnsiTheme="minorBidi" w:cstheme="minorBidi"/>
                <w:szCs w:val="18"/>
              </w:rPr>
              <w:t>, CuO) should be included to clarify whether CoO-AC truly offers superior catalytic properties. Expand the discussion on the catalytic mechanism and compare the efficiency of CoO-AC with other metal oxide catalysts.</w:t>
            </w:r>
          </w:p>
        </w:tc>
      </w:tr>
      <w:tr w:rsidR="003658A7" w:rsidRPr="00CB3116" w14:paraId="26205267" w14:textId="77777777" w:rsidTr="00BA4EF5">
        <w:tc>
          <w:tcPr>
            <w:tcW w:w="1555" w:type="dxa"/>
            <w:shd w:val="clear" w:color="auto" w:fill="auto"/>
            <w:tcMar>
              <w:top w:w="57" w:type="dxa"/>
              <w:bottom w:w="57" w:type="dxa"/>
            </w:tcMar>
          </w:tcPr>
          <w:p w14:paraId="1749A919" w14:textId="77777777" w:rsidR="003658A7" w:rsidRPr="00CB3116" w:rsidRDefault="003658A7" w:rsidP="00864D0F">
            <w:pPr>
              <w:spacing w:line="276" w:lineRule="auto"/>
              <w:rPr>
                <w:rFonts w:asciiTheme="minorBidi" w:hAnsiTheme="minorBidi" w:cstheme="minorBidi"/>
                <w:b/>
                <w:color w:val="0000FF"/>
                <w:szCs w:val="18"/>
              </w:rPr>
            </w:pPr>
            <w:r w:rsidRPr="00CB3116">
              <w:rPr>
                <w:rFonts w:asciiTheme="minorBidi" w:hAnsiTheme="minorBidi" w:cstheme="minorBidi"/>
                <w:b/>
                <w:color w:val="0000FF"/>
                <w:szCs w:val="18"/>
              </w:rPr>
              <w:t>Answer</w:t>
            </w:r>
          </w:p>
        </w:tc>
        <w:tc>
          <w:tcPr>
            <w:tcW w:w="8079" w:type="dxa"/>
            <w:shd w:val="clear" w:color="auto" w:fill="auto"/>
            <w:tcMar>
              <w:top w:w="57" w:type="dxa"/>
              <w:bottom w:w="57" w:type="dxa"/>
            </w:tcMar>
          </w:tcPr>
          <w:p w14:paraId="7FE8EEDB" w14:textId="77777777" w:rsidR="003658A7" w:rsidRPr="00CB3116" w:rsidRDefault="003658A7" w:rsidP="00864D0F">
            <w:pPr>
              <w:spacing w:line="276" w:lineRule="auto"/>
              <w:rPr>
                <w:rFonts w:asciiTheme="minorBidi" w:hAnsiTheme="minorBidi" w:cstheme="minorBidi"/>
                <w:color w:val="000000" w:themeColor="text1"/>
                <w:szCs w:val="18"/>
              </w:rPr>
            </w:pPr>
            <w:r w:rsidRPr="00CB3116">
              <w:rPr>
                <w:rFonts w:asciiTheme="minorBidi" w:hAnsiTheme="minorBidi" w:cstheme="minorBidi"/>
                <w:color w:val="000000" w:themeColor="text1"/>
                <w:szCs w:val="18"/>
              </w:rPr>
              <w:t>We sincerely appreciate the reviewer’s insightful comment. To provide a clearer understanding of the catalytic mechanism, we have expanded the discussion on the interaction between CoO and NC at the molecular level and the role of activated carbon (AC) in enhancing catalytic performance.</w:t>
            </w:r>
          </w:p>
        </w:tc>
      </w:tr>
      <w:tr w:rsidR="003658A7" w:rsidRPr="00CB3116" w14:paraId="5932E117" w14:textId="77777777" w:rsidTr="00BA4EF5">
        <w:tc>
          <w:tcPr>
            <w:tcW w:w="1555" w:type="dxa"/>
            <w:shd w:val="clear" w:color="auto" w:fill="auto"/>
            <w:tcMar>
              <w:top w:w="57" w:type="dxa"/>
              <w:bottom w:w="57" w:type="dxa"/>
            </w:tcMar>
          </w:tcPr>
          <w:p w14:paraId="41060339" w14:textId="77777777" w:rsidR="003658A7" w:rsidRPr="00CB3116" w:rsidRDefault="003658A7" w:rsidP="00864D0F">
            <w:pPr>
              <w:spacing w:line="276" w:lineRule="auto"/>
              <w:rPr>
                <w:rFonts w:asciiTheme="minorBidi" w:hAnsiTheme="minorBidi" w:cstheme="minorBidi"/>
                <w:b/>
                <w:color w:val="0000FF"/>
                <w:szCs w:val="18"/>
              </w:rPr>
            </w:pPr>
            <w:r w:rsidRPr="00CB3116">
              <w:rPr>
                <w:rFonts w:asciiTheme="minorBidi" w:hAnsiTheme="minorBidi" w:cstheme="minorBidi"/>
                <w:b/>
                <w:color w:val="0000FF"/>
                <w:szCs w:val="18"/>
              </w:rPr>
              <w:t>Changes made</w:t>
            </w:r>
          </w:p>
        </w:tc>
        <w:tc>
          <w:tcPr>
            <w:tcW w:w="8079" w:type="dxa"/>
            <w:shd w:val="clear" w:color="auto" w:fill="auto"/>
            <w:tcMar>
              <w:top w:w="57" w:type="dxa"/>
              <w:bottom w:w="57" w:type="dxa"/>
            </w:tcMar>
          </w:tcPr>
          <w:p w14:paraId="1EB67854" w14:textId="77777777" w:rsidR="003658A7" w:rsidRPr="00CB3116" w:rsidRDefault="003658A7" w:rsidP="00864D0F">
            <w:pPr>
              <w:spacing w:line="276" w:lineRule="auto"/>
              <w:rPr>
                <w:rFonts w:asciiTheme="minorBidi" w:hAnsiTheme="minorBidi" w:cstheme="minorBidi"/>
                <w:b/>
                <w:color w:val="0000FF"/>
                <w:szCs w:val="18"/>
              </w:rPr>
            </w:pPr>
            <w:r w:rsidRPr="00CB3116">
              <w:rPr>
                <w:rFonts w:asciiTheme="minorBidi" w:hAnsiTheme="minorBidi" w:cstheme="minorBidi"/>
                <w:b/>
                <w:color w:val="0000FF"/>
                <w:szCs w:val="18"/>
              </w:rPr>
              <w:t>A more detailed explanation of the catalytic role of CoO and AC has been provided.</w:t>
            </w:r>
          </w:p>
        </w:tc>
      </w:tr>
      <w:tr w:rsidR="003658A7" w:rsidRPr="00CB3116" w14:paraId="03469248" w14:textId="77777777" w:rsidTr="00BA4EF5">
        <w:tc>
          <w:tcPr>
            <w:tcW w:w="1555" w:type="dxa"/>
            <w:shd w:val="clear" w:color="auto" w:fill="D9D9D9"/>
            <w:tcMar>
              <w:top w:w="57" w:type="dxa"/>
              <w:bottom w:w="57" w:type="dxa"/>
            </w:tcMar>
          </w:tcPr>
          <w:p w14:paraId="0FF22080" w14:textId="77777777" w:rsidR="003658A7" w:rsidRPr="00CB3116" w:rsidRDefault="003658A7" w:rsidP="00864D0F">
            <w:pPr>
              <w:spacing w:line="276" w:lineRule="auto"/>
              <w:rPr>
                <w:rFonts w:asciiTheme="minorBidi" w:hAnsiTheme="minorBidi" w:cstheme="minorBidi"/>
                <w:b/>
                <w:color w:val="000000" w:themeColor="text1"/>
                <w:szCs w:val="18"/>
              </w:rPr>
            </w:pPr>
            <w:r w:rsidRPr="00CB3116">
              <w:rPr>
                <w:rFonts w:asciiTheme="minorBidi" w:hAnsiTheme="minorBidi" w:cstheme="minorBidi"/>
                <w:b/>
                <w:color w:val="000000" w:themeColor="text1"/>
                <w:szCs w:val="18"/>
              </w:rPr>
              <w:t>Reviewer #2</w:t>
            </w:r>
          </w:p>
          <w:p w14:paraId="56D58C9D" w14:textId="77777777" w:rsidR="003658A7" w:rsidRPr="00CB3116" w:rsidRDefault="003658A7" w:rsidP="00864D0F">
            <w:pPr>
              <w:spacing w:line="276" w:lineRule="auto"/>
              <w:rPr>
                <w:rFonts w:asciiTheme="minorBidi" w:hAnsiTheme="minorBidi" w:cstheme="minorBidi"/>
                <w:b/>
                <w:color w:val="FF0000"/>
                <w:szCs w:val="18"/>
              </w:rPr>
            </w:pPr>
            <w:r w:rsidRPr="00CB3116">
              <w:rPr>
                <w:rFonts w:asciiTheme="minorBidi" w:hAnsiTheme="minorBidi" w:cstheme="minorBidi"/>
                <w:b/>
                <w:color w:val="000000" w:themeColor="text1"/>
                <w:szCs w:val="18"/>
              </w:rPr>
              <w:t>Comment 2</w:t>
            </w:r>
          </w:p>
        </w:tc>
        <w:tc>
          <w:tcPr>
            <w:tcW w:w="8079" w:type="dxa"/>
            <w:shd w:val="clear" w:color="auto" w:fill="D9D9D9"/>
            <w:tcMar>
              <w:top w:w="57" w:type="dxa"/>
              <w:bottom w:w="57" w:type="dxa"/>
            </w:tcMar>
          </w:tcPr>
          <w:p w14:paraId="59805320" w14:textId="77777777" w:rsidR="003658A7" w:rsidRPr="00CB3116" w:rsidRDefault="003658A7" w:rsidP="00864D0F">
            <w:pPr>
              <w:spacing w:line="276" w:lineRule="auto"/>
              <w:rPr>
                <w:rFonts w:asciiTheme="minorBidi" w:hAnsiTheme="minorBidi" w:cstheme="minorBidi"/>
                <w:color w:val="000000" w:themeColor="text1"/>
                <w:szCs w:val="18"/>
              </w:rPr>
            </w:pPr>
            <w:r w:rsidRPr="00CB3116">
              <w:rPr>
                <w:rFonts w:asciiTheme="minorBidi" w:hAnsiTheme="minorBidi" w:cstheme="minorBidi"/>
                <w:color w:val="000000" w:themeColor="text1"/>
                <w:szCs w:val="18"/>
              </w:rPr>
              <w:t>2) Novelty &amp; new insights into the problem</w:t>
            </w:r>
          </w:p>
          <w:p w14:paraId="2B01E8A3" w14:textId="77777777" w:rsidR="003658A7" w:rsidRPr="00CB3116" w:rsidRDefault="003658A7" w:rsidP="00864D0F">
            <w:pPr>
              <w:spacing w:line="276" w:lineRule="auto"/>
              <w:rPr>
                <w:rFonts w:asciiTheme="minorBidi" w:hAnsiTheme="minorBidi" w:cstheme="minorBidi"/>
                <w:b/>
                <w:color w:val="0000FF"/>
                <w:szCs w:val="18"/>
              </w:rPr>
            </w:pPr>
            <w:r w:rsidRPr="00CB3116">
              <w:rPr>
                <w:rFonts w:asciiTheme="minorBidi" w:hAnsiTheme="minorBidi" w:cstheme="minorBidi"/>
                <w:color w:val="000000" w:themeColor="text1"/>
                <w:szCs w:val="18"/>
              </w:rPr>
              <w:t>The integration of CoO with AC to enhance the thermal decomposition of NC is a novel approach with potential applications in energetic materials. The work builds on previous research but provides new insights into catalytic decomposition mechanisms. A comparative table summarizing key findings from previous studies on similar catalysts could further highlight the novelty of this work.</w:t>
            </w:r>
          </w:p>
        </w:tc>
      </w:tr>
      <w:tr w:rsidR="003658A7" w:rsidRPr="00CB3116" w14:paraId="24AC8699" w14:textId="77777777" w:rsidTr="00BA4EF5">
        <w:tc>
          <w:tcPr>
            <w:tcW w:w="1555" w:type="dxa"/>
            <w:shd w:val="clear" w:color="auto" w:fill="auto"/>
            <w:tcMar>
              <w:top w:w="57" w:type="dxa"/>
              <w:bottom w:w="57" w:type="dxa"/>
            </w:tcMar>
          </w:tcPr>
          <w:p w14:paraId="45667832" w14:textId="77777777" w:rsidR="003658A7" w:rsidRPr="00CB3116" w:rsidRDefault="003658A7" w:rsidP="00864D0F">
            <w:pPr>
              <w:spacing w:line="276" w:lineRule="auto"/>
              <w:rPr>
                <w:rFonts w:asciiTheme="minorBidi" w:hAnsiTheme="minorBidi" w:cstheme="minorBidi"/>
                <w:b/>
                <w:color w:val="0000FF"/>
                <w:szCs w:val="18"/>
              </w:rPr>
            </w:pPr>
            <w:r w:rsidRPr="00CB3116">
              <w:rPr>
                <w:rFonts w:asciiTheme="minorBidi" w:hAnsiTheme="minorBidi" w:cstheme="minorBidi"/>
                <w:b/>
                <w:color w:val="0000FF"/>
                <w:szCs w:val="18"/>
              </w:rPr>
              <w:t>Answer</w:t>
            </w:r>
          </w:p>
        </w:tc>
        <w:tc>
          <w:tcPr>
            <w:tcW w:w="8079" w:type="dxa"/>
            <w:shd w:val="clear" w:color="auto" w:fill="auto"/>
            <w:tcMar>
              <w:top w:w="57" w:type="dxa"/>
              <w:bottom w:w="57" w:type="dxa"/>
            </w:tcMar>
          </w:tcPr>
          <w:p w14:paraId="071DFE2C" w14:textId="77777777" w:rsidR="003658A7" w:rsidRPr="00CB3116" w:rsidRDefault="003658A7" w:rsidP="00864D0F">
            <w:pPr>
              <w:spacing w:line="276" w:lineRule="auto"/>
              <w:rPr>
                <w:rFonts w:asciiTheme="minorBidi" w:hAnsiTheme="minorBidi" w:cstheme="minorBidi"/>
                <w:color w:val="000000" w:themeColor="text1"/>
                <w:szCs w:val="18"/>
              </w:rPr>
            </w:pPr>
            <w:r w:rsidRPr="00CB3116">
              <w:rPr>
                <w:rFonts w:asciiTheme="minorBidi" w:hAnsiTheme="minorBidi" w:cstheme="minorBidi"/>
                <w:color w:val="000000" w:themeColor="text1"/>
                <w:szCs w:val="18"/>
              </w:rPr>
              <w:t>We appreciate the reviewer’s suggestion. To emphasize the novelty of our work, we have added a comparative table summarizing activation energy values from previous studies on similar catalysts. This table highlights the effectiveness of CoO and AC-CoO in reducing the activation energy of NC decomposition, demonstrating the enhanced catalytic performance of our approach. Additionally, we have revised the manuscript to explicitly discuss how our findings build upon and extend previous research by providing new insights into catalytic decomposition mechanisms.</w:t>
            </w:r>
          </w:p>
        </w:tc>
      </w:tr>
      <w:tr w:rsidR="003658A7" w:rsidRPr="00CB3116" w14:paraId="38638D88" w14:textId="77777777" w:rsidTr="00BA4EF5">
        <w:tc>
          <w:tcPr>
            <w:tcW w:w="1555" w:type="dxa"/>
            <w:shd w:val="clear" w:color="auto" w:fill="auto"/>
            <w:tcMar>
              <w:top w:w="57" w:type="dxa"/>
              <w:bottom w:w="57" w:type="dxa"/>
            </w:tcMar>
          </w:tcPr>
          <w:p w14:paraId="09B4604B" w14:textId="77777777" w:rsidR="003658A7" w:rsidRPr="00CB3116" w:rsidRDefault="003658A7" w:rsidP="00864D0F">
            <w:pPr>
              <w:spacing w:line="276" w:lineRule="auto"/>
              <w:rPr>
                <w:rFonts w:asciiTheme="minorBidi" w:hAnsiTheme="minorBidi" w:cstheme="minorBidi"/>
                <w:b/>
                <w:color w:val="0000FF"/>
                <w:szCs w:val="18"/>
              </w:rPr>
            </w:pPr>
            <w:r w:rsidRPr="00CB3116">
              <w:rPr>
                <w:rFonts w:asciiTheme="minorBidi" w:hAnsiTheme="minorBidi" w:cstheme="minorBidi"/>
                <w:b/>
                <w:color w:val="0000FF"/>
                <w:szCs w:val="18"/>
              </w:rPr>
              <w:t>Changes made</w:t>
            </w:r>
          </w:p>
        </w:tc>
        <w:tc>
          <w:tcPr>
            <w:tcW w:w="8079" w:type="dxa"/>
            <w:shd w:val="clear" w:color="auto" w:fill="auto"/>
            <w:tcMar>
              <w:top w:w="57" w:type="dxa"/>
              <w:bottom w:w="57" w:type="dxa"/>
            </w:tcMar>
          </w:tcPr>
          <w:p w14:paraId="67DEE660" w14:textId="77777777" w:rsidR="003658A7" w:rsidRPr="00CB3116" w:rsidRDefault="003658A7" w:rsidP="00864D0F">
            <w:pPr>
              <w:spacing w:line="276" w:lineRule="auto"/>
              <w:rPr>
                <w:rFonts w:asciiTheme="minorBidi" w:hAnsiTheme="minorBidi" w:cstheme="minorBidi"/>
                <w:b/>
                <w:color w:val="0000FF"/>
                <w:szCs w:val="18"/>
              </w:rPr>
            </w:pPr>
            <w:r w:rsidRPr="00CB3116">
              <w:rPr>
                <w:rFonts w:asciiTheme="minorBidi" w:hAnsiTheme="minorBidi" w:cstheme="minorBidi"/>
                <w:b/>
                <w:color w:val="0000FF"/>
                <w:szCs w:val="18"/>
              </w:rPr>
              <w:t xml:space="preserve">Added </w:t>
            </w:r>
            <w:proofErr w:type="gramStart"/>
            <w:r w:rsidRPr="00CB3116">
              <w:rPr>
                <w:rFonts w:asciiTheme="minorBidi" w:hAnsiTheme="minorBidi" w:cstheme="minorBidi"/>
                <w:b/>
                <w:color w:val="0000FF"/>
                <w:szCs w:val="18"/>
              </w:rPr>
              <w:t>Table :</w:t>
            </w:r>
            <w:proofErr w:type="gramEnd"/>
            <w:r w:rsidRPr="00CB3116">
              <w:rPr>
                <w:rFonts w:asciiTheme="minorBidi" w:hAnsiTheme="minorBidi" w:cstheme="minorBidi"/>
                <w:b/>
                <w:color w:val="0000FF"/>
                <w:szCs w:val="18"/>
              </w:rPr>
              <w:t xml:space="preserve"> Comparison of Activation Energy (</w:t>
            </w:r>
            <w:proofErr w:type="spellStart"/>
            <w:r w:rsidRPr="00CB3116">
              <w:rPr>
                <w:rFonts w:asciiTheme="minorBidi" w:hAnsiTheme="minorBidi" w:cstheme="minorBidi"/>
                <w:b/>
                <w:color w:val="0000FF"/>
                <w:szCs w:val="18"/>
              </w:rPr>
              <w:t>Ea</w:t>
            </w:r>
            <w:proofErr w:type="spellEnd"/>
            <w:r w:rsidRPr="00CB3116">
              <w:rPr>
                <w:rFonts w:asciiTheme="minorBidi" w:hAnsiTheme="minorBidi" w:cstheme="minorBidi"/>
                <w:b/>
                <w:color w:val="0000FF"/>
                <w:szCs w:val="18"/>
              </w:rPr>
              <w:t>) Values for Various NC-Based Energetic Composites to illustrate the catalytic efficiency of CoO and AC-CoO relative to existing catalysts.</w:t>
            </w:r>
          </w:p>
          <w:p w14:paraId="6D38D580" w14:textId="77777777" w:rsidR="003658A7" w:rsidRPr="00CB3116" w:rsidRDefault="003658A7" w:rsidP="00864D0F">
            <w:pPr>
              <w:spacing w:line="276" w:lineRule="auto"/>
              <w:rPr>
                <w:rFonts w:asciiTheme="minorBidi" w:hAnsiTheme="minorBidi" w:cstheme="minorBidi"/>
                <w:b/>
                <w:color w:val="0000FF"/>
                <w:szCs w:val="18"/>
              </w:rPr>
            </w:pPr>
            <w:r w:rsidRPr="00CB3116">
              <w:rPr>
                <w:rFonts w:asciiTheme="minorBidi" w:hAnsiTheme="minorBidi" w:cstheme="minorBidi"/>
                <w:b/>
                <w:color w:val="0000FF"/>
                <w:szCs w:val="18"/>
              </w:rPr>
              <w:t>Updated the text to integrate the table and elaborate on the significance of our findings in the context of prior studies.</w:t>
            </w:r>
          </w:p>
        </w:tc>
      </w:tr>
      <w:tr w:rsidR="003658A7" w:rsidRPr="00CB3116" w14:paraId="70CD22EE" w14:textId="77777777" w:rsidTr="00BA4EF5">
        <w:tc>
          <w:tcPr>
            <w:tcW w:w="1555" w:type="dxa"/>
            <w:shd w:val="clear" w:color="auto" w:fill="D9D9D9" w:themeFill="background1" w:themeFillShade="D9"/>
            <w:tcMar>
              <w:top w:w="57" w:type="dxa"/>
              <w:bottom w:w="57" w:type="dxa"/>
            </w:tcMar>
          </w:tcPr>
          <w:p w14:paraId="5E3961F6" w14:textId="77777777" w:rsidR="003658A7" w:rsidRPr="00CB3116" w:rsidRDefault="003658A7" w:rsidP="00864D0F">
            <w:pPr>
              <w:spacing w:line="276" w:lineRule="auto"/>
              <w:rPr>
                <w:rFonts w:asciiTheme="minorBidi" w:hAnsiTheme="minorBidi" w:cstheme="minorBidi"/>
                <w:b/>
                <w:szCs w:val="18"/>
              </w:rPr>
            </w:pPr>
            <w:r w:rsidRPr="00CB3116">
              <w:rPr>
                <w:rFonts w:asciiTheme="minorBidi" w:hAnsiTheme="minorBidi" w:cstheme="minorBidi"/>
                <w:b/>
                <w:szCs w:val="18"/>
              </w:rPr>
              <w:t>Reviewer #2</w:t>
            </w:r>
          </w:p>
          <w:p w14:paraId="5A70061D" w14:textId="77777777" w:rsidR="003658A7" w:rsidRPr="00CB3116" w:rsidRDefault="003658A7" w:rsidP="00864D0F">
            <w:pPr>
              <w:spacing w:line="276" w:lineRule="auto"/>
              <w:rPr>
                <w:rFonts w:asciiTheme="minorBidi" w:hAnsiTheme="minorBidi" w:cstheme="minorBidi"/>
                <w:b/>
                <w:szCs w:val="18"/>
              </w:rPr>
            </w:pPr>
            <w:r w:rsidRPr="00CB3116">
              <w:rPr>
                <w:rFonts w:asciiTheme="minorBidi" w:hAnsiTheme="minorBidi" w:cstheme="minorBidi"/>
                <w:b/>
                <w:szCs w:val="18"/>
              </w:rPr>
              <w:lastRenderedPageBreak/>
              <w:t>Comment 3</w:t>
            </w:r>
          </w:p>
        </w:tc>
        <w:tc>
          <w:tcPr>
            <w:tcW w:w="8079" w:type="dxa"/>
            <w:shd w:val="clear" w:color="auto" w:fill="D9D9D9" w:themeFill="background1" w:themeFillShade="D9"/>
            <w:tcMar>
              <w:top w:w="57" w:type="dxa"/>
              <w:bottom w:w="57" w:type="dxa"/>
            </w:tcMar>
          </w:tcPr>
          <w:p w14:paraId="16A76805" w14:textId="77777777" w:rsidR="003658A7" w:rsidRPr="00CB3116" w:rsidRDefault="003658A7" w:rsidP="00864D0F">
            <w:pPr>
              <w:spacing w:line="276" w:lineRule="auto"/>
              <w:rPr>
                <w:rFonts w:asciiTheme="minorBidi" w:hAnsiTheme="minorBidi" w:cstheme="minorBidi"/>
                <w:bCs/>
                <w:szCs w:val="18"/>
              </w:rPr>
            </w:pPr>
            <w:r w:rsidRPr="00CB3116">
              <w:rPr>
                <w:rFonts w:asciiTheme="minorBidi" w:hAnsiTheme="minorBidi" w:cstheme="minorBidi"/>
                <w:bCs/>
                <w:szCs w:val="18"/>
              </w:rPr>
              <w:lastRenderedPageBreak/>
              <w:t>3) Clarity and readability</w:t>
            </w:r>
          </w:p>
          <w:p w14:paraId="2F4E475B" w14:textId="77777777" w:rsidR="003658A7" w:rsidRPr="00CB3116" w:rsidRDefault="003658A7" w:rsidP="00864D0F">
            <w:pPr>
              <w:spacing w:line="276" w:lineRule="auto"/>
              <w:rPr>
                <w:rFonts w:asciiTheme="minorBidi" w:hAnsiTheme="minorBidi" w:cstheme="minorBidi"/>
                <w:bCs/>
                <w:szCs w:val="18"/>
              </w:rPr>
            </w:pPr>
            <w:r w:rsidRPr="00CB3116">
              <w:rPr>
                <w:rFonts w:asciiTheme="minorBidi" w:hAnsiTheme="minorBidi" w:cstheme="minorBidi"/>
                <w:bCs/>
                <w:szCs w:val="18"/>
              </w:rPr>
              <w:lastRenderedPageBreak/>
              <w:t>The manuscript is well structured and written with sufficient clarity to make the results accessible to a broad audience. Some sections, especially the discussion of kinetic models, could benefit from additional clarification. Figures and tables are relevant and well prepared, but improving figure captions with more explanatory details would enhance readability. However, Figure 2 needs to be changed as the quality is very poor.</w:t>
            </w:r>
          </w:p>
          <w:p w14:paraId="69144918" w14:textId="77777777" w:rsidR="003658A7" w:rsidRPr="00CB3116" w:rsidRDefault="003658A7" w:rsidP="00864D0F">
            <w:pPr>
              <w:spacing w:line="276" w:lineRule="auto"/>
              <w:rPr>
                <w:rFonts w:asciiTheme="minorBidi" w:hAnsiTheme="minorBidi" w:cstheme="minorBidi"/>
                <w:bCs/>
                <w:szCs w:val="18"/>
              </w:rPr>
            </w:pPr>
            <w:r w:rsidRPr="00CB3116">
              <w:rPr>
                <w:rFonts w:asciiTheme="minorBidi" w:hAnsiTheme="minorBidi" w:cstheme="minorBidi"/>
                <w:bCs/>
                <w:szCs w:val="18"/>
              </w:rPr>
              <w:t xml:space="preserve">The authors use three different isoconversional methods (TAS, it-KAS, VYA/CE) to </w:t>
            </w:r>
            <w:proofErr w:type="spellStart"/>
            <w:r w:rsidRPr="00CB3116">
              <w:rPr>
                <w:rFonts w:asciiTheme="minorBidi" w:hAnsiTheme="minorBidi" w:cstheme="minorBidi"/>
                <w:bCs/>
                <w:szCs w:val="18"/>
              </w:rPr>
              <w:t>analyze</w:t>
            </w:r>
            <w:proofErr w:type="spellEnd"/>
            <w:r w:rsidRPr="00CB3116">
              <w:rPr>
                <w:rFonts w:asciiTheme="minorBidi" w:hAnsiTheme="minorBidi" w:cstheme="minorBidi"/>
                <w:bCs/>
                <w:szCs w:val="18"/>
              </w:rPr>
              <w:t xml:space="preserve"> the kinetics, but no clear explanation is given as to why these specific methods were chosen.</w:t>
            </w:r>
          </w:p>
          <w:p w14:paraId="4A451228" w14:textId="77777777" w:rsidR="003658A7" w:rsidRPr="00CB3116" w:rsidRDefault="003658A7" w:rsidP="00864D0F">
            <w:pPr>
              <w:spacing w:line="276" w:lineRule="auto"/>
              <w:rPr>
                <w:rFonts w:asciiTheme="minorBidi" w:hAnsiTheme="minorBidi" w:cstheme="minorBidi"/>
                <w:bCs/>
                <w:szCs w:val="18"/>
              </w:rPr>
            </w:pPr>
            <w:r w:rsidRPr="00CB3116">
              <w:rPr>
                <w:rFonts w:asciiTheme="minorBidi" w:hAnsiTheme="minorBidi" w:cstheme="minorBidi"/>
                <w:bCs/>
                <w:szCs w:val="18"/>
              </w:rPr>
              <w:t>The selection of heating rates (10, 15, 20, 25°C/min) is not justified. Different heating rates</w:t>
            </w:r>
          </w:p>
          <w:p w14:paraId="56D66CB6" w14:textId="77777777" w:rsidR="003658A7" w:rsidRPr="00CB3116" w:rsidRDefault="003658A7" w:rsidP="00864D0F">
            <w:pPr>
              <w:spacing w:line="276" w:lineRule="auto"/>
              <w:rPr>
                <w:rFonts w:asciiTheme="minorBidi" w:hAnsiTheme="minorBidi" w:cstheme="minorBidi"/>
                <w:bCs/>
                <w:szCs w:val="18"/>
              </w:rPr>
            </w:pPr>
            <w:r w:rsidRPr="00CB3116">
              <w:rPr>
                <w:rFonts w:asciiTheme="minorBidi" w:hAnsiTheme="minorBidi" w:cstheme="minorBidi"/>
                <w:bCs/>
                <w:szCs w:val="18"/>
              </w:rPr>
              <w:t>can affect the accuracy of activation energy calculations, so a rationale is needed.</w:t>
            </w:r>
          </w:p>
          <w:p w14:paraId="7B155655" w14:textId="77777777" w:rsidR="003658A7" w:rsidRPr="00CB3116" w:rsidRDefault="003658A7" w:rsidP="00864D0F">
            <w:pPr>
              <w:spacing w:line="276" w:lineRule="auto"/>
              <w:rPr>
                <w:rFonts w:asciiTheme="minorBidi" w:hAnsiTheme="minorBidi" w:cstheme="minorBidi"/>
                <w:bCs/>
                <w:szCs w:val="18"/>
              </w:rPr>
            </w:pPr>
            <w:r w:rsidRPr="00CB3116">
              <w:rPr>
                <w:rFonts w:asciiTheme="minorBidi" w:hAnsiTheme="minorBidi" w:cstheme="minorBidi"/>
                <w:bCs/>
                <w:szCs w:val="18"/>
              </w:rPr>
              <w:t>The authors should discuss:</w:t>
            </w:r>
          </w:p>
          <w:p w14:paraId="7C9E015F" w14:textId="77777777" w:rsidR="003658A7" w:rsidRPr="00CB3116" w:rsidRDefault="003658A7" w:rsidP="00864D0F">
            <w:pPr>
              <w:spacing w:line="276" w:lineRule="auto"/>
              <w:rPr>
                <w:rFonts w:asciiTheme="minorBidi" w:hAnsiTheme="minorBidi" w:cstheme="minorBidi"/>
                <w:bCs/>
                <w:szCs w:val="18"/>
              </w:rPr>
            </w:pPr>
            <w:r w:rsidRPr="00CB3116">
              <w:rPr>
                <w:rFonts w:asciiTheme="minorBidi" w:hAnsiTheme="minorBidi" w:cstheme="minorBidi"/>
                <w:bCs/>
                <w:szCs w:val="18"/>
              </w:rPr>
              <w:t>- Why were TAS, it-KAS, and VYA/CE selected over other kinetic models?</w:t>
            </w:r>
          </w:p>
          <w:p w14:paraId="54A79B83" w14:textId="77777777" w:rsidR="003658A7" w:rsidRPr="00CB3116" w:rsidRDefault="003658A7" w:rsidP="00864D0F">
            <w:pPr>
              <w:spacing w:line="276" w:lineRule="auto"/>
              <w:rPr>
                <w:rFonts w:asciiTheme="minorBidi" w:hAnsiTheme="minorBidi" w:cstheme="minorBidi"/>
                <w:bCs/>
                <w:szCs w:val="18"/>
              </w:rPr>
            </w:pPr>
            <w:r w:rsidRPr="00CB3116">
              <w:rPr>
                <w:rFonts w:asciiTheme="minorBidi" w:hAnsiTheme="minorBidi" w:cstheme="minorBidi"/>
                <w:bCs/>
                <w:szCs w:val="18"/>
              </w:rPr>
              <w:t>- How do different heating rates influence the accuracy of kinetic parameters?</w:t>
            </w:r>
          </w:p>
          <w:p w14:paraId="3D05D020" w14:textId="77777777" w:rsidR="003658A7" w:rsidRPr="00CB3116" w:rsidRDefault="003658A7" w:rsidP="00864D0F">
            <w:pPr>
              <w:spacing w:line="276" w:lineRule="auto"/>
              <w:rPr>
                <w:rFonts w:asciiTheme="minorBidi" w:hAnsiTheme="minorBidi" w:cstheme="minorBidi"/>
                <w:bCs/>
                <w:szCs w:val="18"/>
              </w:rPr>
            </w:pPr>
            <w:r w:rsidRPr="00CB3116">
              <w:rPr>
                <w:rFonts w:asciiTheme="minorBidi" w:hAnsiTheme="minorBidi" w:cstheme="minorBidi"/>
                <w:bCs/>
                <w:szCs w:val="18"/>
              </w:rPr>
              <w:t>- Have the authors tested the sensitivity of their results to heating rate variations?</w:t>
            </w:r>
          </w:p>
          <w:p w14:paraId="230E25CE" w14:textId="77777777" w:rsidR="003658A7" w:rsidRPr="00CB3116" w:rsidRDefault="003658A7" w:rsidP="00864D0F">
            <w:pPr>
              <w:spacing w:line="276" w:lineRule="auto"/>
              <w:rPr>
                <w:rFonts w:asciiTheme="minorBidi" w:hAnsiTheme="minorBidi" w:cstheme="minorBidi"/>
                <w:bCs/>
                <w:szCs w:val="18"/>
              </w:rPr>
            </w:pPr>
            <w:r w:rsidRPr="00CB3116">
              <w:rPr>
                <w:rFonts w:asciiTheme="minorBidi" w:hAnsiTheme="minorBidi" w:cstheme="minorBidi"/>
                <w:bCs/>
                <w:szCs w:val="18"/>
              </w:rPr>
              <w:t xml:space="preserve">Justify the choice of kinetic models and heating rates to strengthen the methodological foundation of the study. </w:t>
            </w:r>
          </w:p>
        </w:tc>
      </w:tr>
      <w:tr w:rsidR="003658A7" w:rsidRPr="00CB3116" w14:paraId="129E3085" w14:textId="77777777" w:rsidTr="00BA4EF5">
        <w:tc>
          <w:tcPr>
            <w:tcW w:w="1555" w:type="dxa"/>
            <w:shd w:val="clear" w:color="auto" w:fill="auto"/>
            <w:tcMar>
              <w:top w:w="57" w:type="dxa"/>
              <w:bottom w:w="57" w:type="dxa"/>
            </w:tcMar>
          </w:tcPr>
          <w:p w14:paraId="08C1EF2A" w14:textId="77777777" w:rsidR="003658A7" w:rsidRPr="00CB3116" w:rsidRDefault="003658A7" w:rsidP="00864D0F">
            <w:pPr>
              <w:spacing w:line="276" w:lineRule="auto"/>
              <w:rPr>
                <w:rFonts w:asciiTheme="minorBidi" w:hAnsiTheme="minorBidi" w:cstheme="minorBidi"/>
                <w:b/>
                <w:szCs w:val="18"/>
              </w:rPr>
            </w:pPr>
            <w:r w:rsidRPr="00CB3116">
              <w:rPr>
                <w:rFonts w:asciiTheme="minorBidi" w:hAnsiTheme="minorBidi" w:cstheme="minorBidi"/>
                <w:b/>
                <w:color w:val="0000FF"/>
                <w:szCs w:val="18"/>
              </w:rPr>
              <w:lastRenderedPageBreak/>
              <w:t>Answer</w:t>
            </w:r>
          </w:p>
        </w:tc>
        <w:tc>
          <w:tcPr>
            <w:tcW w:w="8079" w:type="dxa"/>
            <w:shd w:val="clear" w:color="auto" w:fill="auto"/>
            <w:tcMar>
              <w:top w:w="57" w:type="dxa"/>
              <w:bottom w:w="57" w:type="dxa"/>
            </w:tcMar>
          </w:tcPr>
          <w:p w14:paraId="1300C48D" w14:textId="77777777" w:rsidR="003658A7" w:rsidRPr="00CB3116" w:rsidRDefault="003658A7" w:rsidP="00864D0F">
            <w:pPr>
              <w:spacing w:line="276" w:lineRule="auto"/>
              <w:rPr>
                <w:rFonts w:asciiTheme="minorBidi" w:hAnsiTheme="minorBidi" w:cstheme="minorBidi"/>
                <w:bCs/>
                <w:color w:val="000000" w:themeColor="text1"/>
                <w:szCs w:val="18"/>
              </w:rPr>
            </w:pPr>
            <w:r w:rsidRPr="00CB3116">
              <w:rPr>
                <w:rFonts w:asciiTheme="minorBidi" w:hAnsiTheme="minorBidi" w:cstheme="minorBidi"/>
                <w:bCs/>
                <w:color w:val="000000" w:themeColor="text1"/>
                <w:szCs w:val="18"/>
              </w:rPr>
              <w:t xml:space="preserve">We sincerely appreciate the reviewer’s insightful comment. </w:t>
            </w:r>
          </w:p>
          <w:p w14:paraId="1F8101BB" w14:textId="77777777" w:rsidR="003658A7" w:rsidRPr="00CB3116" w:rsidRDefault="003658A7" w:rsidP="00864D0F">
            <w:pPr>
              <w:spacing w:line="276" w:lineRule="auto"/>
              <w:rPr>
                <w:rFonts w:asciiTheme="minorBidi" w:hAnsiTheme="minorBidi" w:cstheme="minorBidi"/>
                <w:bCs/>
                <w:color w:val="000000" w:themeColor="text1"/>
                <w:szCs w:val="18"/>
              </w:rPr>
            </w:pPr>
            <w:r w:rsidRPr="00CB3116">
              <w:rPr>
                <w:rFonts w:asciiTheme="minorBidi" w:hAnsiTheme="minorBidi" w:cstheme="minorBidi"/>
                <w:bCs/>
                <w:color w:val="000000" w:themeColor="text1"/>
                <w:szCs w:val="18"/>
              </w:rPr>
              <w:t xml:space="preserve">In the study of energetic materials, </w:t>
            </w:r>
            <w:proofErr w:type="spellStart"/>
            <w:r w:rsidRPr="00CB3116">
              <w:rPr>
                <w:rFonts w:asciiTheme="minorBidi" w:hAnsiTheme="minorBidi" w:cstheme="minorBidi"/>
                <w:bCs/>
                <w:color w:val="000000" w:themeColor="text1"/>
                <w:szCs w:val="18"/>
              </w:rPr>
              <w:t>analyzing</w:t>
            </w:r>
            <w:proofErr w:type="spellEnd"/>
            <w:r w:rsidRPr="00CB3116">
              <w:rPr>
                <w:rFonts w:asciiTheme="minorBidi" w:hAnsiTheme="minorBidi" w:cstheme="minorBidi"/>
                <w:bCs/>
                <w:color w:val="000000" w:themeColor="text1"/>
                <w:szCs w:val="18"/>
              </w:rPr>
              <w:t xml:space="preserve"> thermal decomposition behavior is fundamental to ensuring safe handling, storage, and processing while minimizing accident risks. To accurately assess the thermal stability and decomposition kinetics of the synthesized energetic composites, we employed DSC analysis alongside a rigorous thermo-kinetic investigation using the advanced isoconversional methods TAS, it-KAS, and VYA/CE.</w:t>
            </w:r>
          </w:p>
          <w:p w14:paraId="332C38BA" w14:textId="77777777" w:rsidR="003658A7" w:rsidRPr="00CB3116" w:rsidRDefault="003658A7" w:rsidP="00864D0F">
            <w:pPr>
              <w:spacing w:line="276" w:lineRule="auto"/>
              <w:rPr>
                <w:rFonts w:asciiTheme="minorBidi" w:hAnsiTheme="minorBidi" w:cstheme="minorBidi"/>
                <w:bCs/>
                <w:color w:val="000000" w:themeColor="text1"/>
                <w:szCs w:val="18"/>
              </w:rPr>
            </w:pPr>
            <w:r w:rsidRPr="00CB3116">
              <w:rPr>
                <w:rFonts w:asciiTheme="minorBidi" w:hAnsiTheme="minorBidi" w:cstheme="minorBidi"/>
                <w:bCs/>
                <w:color w:val="000000" w:themeColor="text1"/>
                <w:szCs w:val="18"/>
              </w:rPr>
              <w:t xml:space="preserve">The selection of four heating rates (10, 15, 20, and 25 °C/min) was carefully made to balance two critical factors: low heating rates slow down the reaction, making complete conversion challenging within a practical timeframe, while high heating rates may induce self-heating effects, leading to deviations from controlled thermal conditions. By opting for intermediate heating rates, we ensured reliable kinetic parameter determination while minimizing potential experimental </w:t>
            </w:r>
            <w:proofErr w:type="spellStart"/>
            <w:r w:rsidRPr="00CB3116">
              <w:rPr>
                <w:rFonts w:asciiTheme="minorBidi" w:hAnsiTheme="minorBidi" w:cstheme="minorBidi"/>
                <w:bCs/>
                <w:color w:val="000000" w:themeColor="text1"/>
                <w:szCs w:val="18"/>
              </w:rPr>
              <w:t>artifacts</w:t>
            </w:r>
            <w:proofErr w:type="spellEnd"/>
            <w:r w:rsidRPr="00CB3116">
              <w:rPr>
                <w:rFonts w:asciiTheme="minorBidi" w:hAnsiTheme="minorBidi" w:cstheme="minorBidi"/>
                <w:bCs/>
                <w:color w:val="000000" w:themeColor="text1"/>
                <w:szCs w:val="18"/>
              </w:rPr>
              <w:t>.</w:t>
            </w:r>
          </w:p>
          <w:p w14:paraId="42891096" w14:textId="77777777" w:rsidR="003658A7" w:rsidRPr="00CB3116" w:rsidRDefault="003658A7" w:rsidP="00864D0F">
            <w:pPr>
              <w:spacing w:line="276" w:lineRule="auto"/>
              <w:rPr>
                <w:rFonts w:asciiTheme="minorBidi" w:hAnsiTheme="minorBidi" w:cstheme="minorBidi"/>
                <w:bCs/>
                <w:color w:val="000000" w:themeColor="text1"/>
                <w:szCs w:val="18"/>
              </w:rPr>
            </w:pPr>
            <w:r w:rsidRPr="00CB3116">
              <w:rPr>
                <w:rFonts w:asciiTheme="minorBidi" w:hAnsiTheme="minorBidi" w:cstheme="minorBidi"/>
                <w:bCs/>
                <w:color w:val="000000" w:themeColor="text1"/>
                <w:szCs w:val="18"/>
              </w:rPr>
              <w:t>The use of TAS, it-KAS, and VYA/CE was guided by their strong theoretical foundation and established reliability, as recommended by the ICTAC Kinetics Committee. These advanced isoconversional approaches allow for accurate activation energy determination under non-isothermal conditions, effectively accounting for reaction complexity and variations in decomposition mechanisms.</w:t>
            </w:r>
          </w:p>
          <w:p w14:paraId="1F4E1C3E" w14:textId="77777777" w:rsidR="003658A7" w:rsidRPr="00CB3116" w:rsidRDefault="003658A7" w:rsidP="00864D0F">
            <w:pPr>
              <w:spacing w:line="276" w:lineRule="auto"/>
              <w:rPr>
                <w:rFonts w:asciiTheme="minorBidi" w:hAnsiTheme="minorBidi" w:cstheme="minorBidi"/>
                <w:bCs/>
                <w:color w:val="000000" w:themeColor="text1"/>
                <w:szCs w:val="18"/>
              </w:rPr>
            </w:pPr>
            <w:r w:rsidRPr="00CB3116">
              <w:rPr>
                <w:rFonts w:asciiTheme="minorBidi" w:hAnsiTheme="minorBidi" w:cstheme="minorBidi"/>
                <w:bCs/>
                <w:color w:val="000000" w:themeColor="text1"/>
                <w:szCs w:val="18"/>
              </w:rPr>
              <w:t>Moreover, the comparison of these three advanced models plays a crucial role in validating the accuracy of the kinetic results. As shown in Figures 3b and 3c, the activation energy (Eₐ) remains consistent across all NC-based composites, reinforcing the reliability of the applied isoconversional techniques and confirming the robustness of our kinetic analysis.</w:t>
            </w:r>
          </w:p>
        </w:tc>
      </w:tr>
      <w:tr w:rsidR="003658A7" w:rsidRPr="00CB3116" w14:paraId="01034F3F" w14:textId="77777777" w:rsidTr="00BA4EF5">
        <w:tc>
          <w:tcPr>
            <w:tcW w:w="1555" w:type="dxa"/>
            <w:shd w:val="clear" w:color="auto" w:fill="auto"/>
            <w:tcMar>
              <w:top w:w="57" w:type="dxa"/>
              <w:bottom w:w="57" w:type="dxa"/>
            </w:tcMar>
          </w:tcPr>
          <w:p w14:paraId="59B8286B" w14:textId="77777777" w:rsidR="003658A7" w:rsidRPr="00CB3116" w:rsidRDefault="003658A7" w:rsidP="00864D0F">
            <w:pPr>
              <w:spacing w:line="276" w:lineRule="auto"/>
              <w:rPr>
                <w:rFonts w:asciiTheme="minorBidi" w:hAnsiTheme="minorBidi" w:cstheme="minorBidi"/>
                <w:b/>
                <w:szCs w:val="18"/>
              </w:rPr>
            </w:pPr>
            <w:r w:rsidRPr="00CB3116">
              <w:rPr>
                <w:rFonts w:asciiTheme="minorBidi" w:hAnsiTheme="minorBidi" w:cstheme="minorBidi"/>
                <w:b/>
                <w:color w:val="0000FF"/>
                <w:szCs w:val="18"/>
              </w:rPr>
              <w:t>Changes made</w:t>
            </w:r>
          </w:p>
        </w:tc>
        <w:tc>
          <w:tcPr>
            <w:tcW w:w="8079" w:type="dxa"/>
            <w:shd w:val="clear" w:color="auto" w:fill="auto"/>
            <w:tcMar>
              <w:top w:w="57" w:type="dxa"/>
              <w:bottom w:w="57" w:type="dxa"/>
            </w:tcMar>
          </w:tcPr>
          <w:p w14:paraId="08F3835D" w14:textId="77777777" w:rsidR="003658A7" w:rsidRPr="00CB3116" w:rsidRDefault="003658A7" w:rsidP="00864D0F">
            <w:pPr>
              <w:spacing w:line="276" w:lineRule="auto"/>
              <w:rPr>
                <w:rFonts w:asciiTheme="minorBidi" w:hAnsiTheme="minorBidi" w:cstheme="minorBidi"/>
                <w:b/>
                <w:szCs w:val="18"/>
              </w:rPr>
            </w:pPr>
            <w:r w:rsidRPr="00CB3116">
              <w:rPr>
                <w:rFonts w:asciiTheme="minorBidi" w:hAnsiTheme="minorBidi" w:cstheme="minorBidi"/>
                <w:b/>
                <w:color w:val="0000FF"/>
                <w:szCs w:val="18"/>
              </w:rPr>
              <w:t>/</w:t>
            </w:r>
          </w:p>
        </w:tc>
      </w:tr>
      <w:tr w:rsidR="003658A7" w:rsidRPr="00CB3116" w14:paraId="37426946" w14:textId="77777777" w:rsidTr="00BA4EF5">
        <w:tc>
          <w:tcPr>
            <w:tcW w:w="1555" w:type="dxa"/>
            <w:shd w:val="clear" w:color="auto" w:fill="D9D9D9" w:themeFill="background1" w:themeFillShade="D9"/>
            <w:tcMar>
              <w:top w:w="57" w:type="dxa"/>
              <w:bottom w:w="57" w:type="dxa"/>
            </w:tcMar>
          </w:tcPr>
          <w:p w14:paraId="7703C9CC" w14:textId="77777777" w:rsidR="003658A7" w:rsidRPr="00CB3116" w:rsidRDefault="003658A7" w:rsidP="00864D0F">
            <w:pPr>
              <w:spacing w:line="276" w:lineRule="auto"/>
              <w:rPr>
                <w:rFonts w:asciiTheme="minorBidi" w:hAnsiTheme="minorBidi" w:cstheme="minorBidi"/>
                <w:b/>
                <w:color w:val="000000" w:themeColor="text1"/>
                <w:szCs w:val="18"/>
              </w:rPr>
            </w:pPr>
            <w:r w:rsidRPr="00CB3116">
              <w:rPr>
                <w:rFonts w:asciiTheme="minorBidi" w:hAnsiTheme="minorBidi" w:cstheme="minorBidi"/>
                <w:b/>
                <w:color w:val="000000" w:themeColor="text1"/>
                <w:szCs w:val="18"/>
              </w:rPr>
              <w:t>Reviewer #2</w:t>
            </w:r>
          </w:p>
          <w:p w14:paraId="676193DD" w14:textId="77777777" w:rsidR="003658A7" w:rsidRPr="00CB3116" w:rsidRDefault="003658A7" w:rsidP="00864D0F">
            <w:pPr>
              <w:spacing w:line="276" w:lineRule="auto"/>
              <w:rPr>
                <w:rFonts w:asciiTheme="minorBidi" w:hAnsiTheme="minorBidi" w:cstheme="minorBidi"/>
                <w:b/>
                <w:color w:val="FF0000"/>
                <w:szCs w:val="18"/>
              </w:rPr>
            </w:pPr>
            <w:r w:rsidRPr="00CB3116">
              <w:rPr>
                <w:rFonts w:asciiTheme="minorBidi" w:hAnsiTheme="minorBidi" w:cstheme="minorBidi"/>
                <w:b/>
                <w:color w:val="000000" w:themeColor="text1"/>
                <w:szCs w:val="18"/>
              </w:rPr>
              <w:t>Comment 4</w:t>
            </w:r>
          </w:p>
        </w:tc>
        <w:tc>
          <w:tcPr>
            <w:tcW w:w="8079" w:type="dxa"/>
            <w:shd w:val="clear" w:color="auto" w:fill="D9D9D9" w:themeFill="background1" w:themeFillShade="D9"/>
            <w:tcMar>
              <w:top w:w="57" w:type="dxa"/>
              <w:bottom w:w="57" w:type="dxa"/>
            </w:tcMar>
          </w:tcPr>
          <w:p w14:paraId="33F0EFAC" w14:textId="78B57C75" w:rsidR="003658A7" w:rsidRPr="00CB3116" w:rsidRDefault="003658A7" w:rsidP="003658A7">
            <w:pPr>
              <w:spacing w:line="276" w:lineRule="auto"/>
              <w:rPr>
                <w:rFonts w:asciiTheme="minorBidi" w:hAnsiTheme="minorBidi" w:cstheme="minorBidi"/>
                <w:bCs/>
                <w:color w:val="000000" w:themeColor="text1"/>
                <w:szCs w:val="18"/>
              </w:rPr>
            </w:pPr>
            <w:r w:rsidRPr="00CB3116">
              <w:rPr>
                <w:rFonts w:asciiTheme="minorBidi" w:hAnsiTheme="minorBidi" w:cstheme="minorBidi"/>
                <w:bCs/>
                <w:color w:val="000000" w:themeColor="text1"/>
                <w:szCs w:val="18"/>
              </w:rPr>
              <w:t>Minor comment:1) sec 2.1 "Cobalt (II) oxide (CoO), " without comma.</w:t>
            </w:r>
          </w:p>
          <w:p w14:paraId="3D2763E3" w14:textId="77777777" w:rsidR="003658A7" w:rsidRPr="00CB3116" w:rsidRDefault="003658A7" w:rsidP="00864D0F">
            <w:pPr>
              <w:spacing w:line="276" w:lineRule="auto"/>
              <w:rPr>
                <w:rFonts w:asciiTheme="minorBidi" w:hAnsiTheme="minorBidi" w:cstheme="minorBidi"/>
                <w:bCs/>
                <w:color w:val="000000" w:themeColor="text1"/>
                <w:szCs w:val="18"/>
              </w:rPr>
            </w:pPr>
            <w:r w:rsidRPr="00CB3116">
              <w:rPr>
                <w:rFonts w:asciiTheme="minorBidi" w:hAnsiTheme="minorBidi" w:cstheme="minorBidi"/>
                <w:bCs/>
                <w:color w:val="000000" w:themeColor="text1"/>
                <w:szCs w:val="18"/>
                <w:lang w:val="fr-FR"/>
              </w:rPr>
              <w:t xml:space="preserve">2) sec 2.2 "...by </w:t>
            </w:r>
            <w:proofErr w:type="spellStart"/>
            <w:r w:rsidRPr="00CB3116">
              <w:rPr>
                <w:rFonts w:asciiTheme="minorBidi" w:hAnsiTheme="minorBidi" w:cstheme="minorBidi"/>
                <w:bCs/>
                <w:color w:val="000000" w:themeColor="text1"/>
                <w:szCs w:val="18"/>
                <w:lang w:val="fr-FR"/>
              </w:rPr>
              <w:t>Atamanov</w:t>
            </w:r>
            <w:proofErr w:type="spellEnd"/>
            <w:r w:rsidRPr="00CB3116">
              <w:rPr>
                <w:rFonts w:asciiTheme="minorBidi" w:hAnsiTheme="minorBidi" w:cstheme="minorBidi"/>
                <w:bCs/>
                <w:color w:val="000000" w:themeColor="text1"/>
                <w:szCs w:val="18"/>
                <w:lang w:val="fr-FR"/>
              </w:rPr>
              <w:t xml:space="preserve"> et al. (</w:t>
            </w:r>
            <w:proofErr w:type="spellStart"/>
            <w:r w:rsidRPr="00CB3116">
              <w:rPr>
                <w:rFonts w:asciiTheme="minorBidi" w:hAnsiTheme="minorBidi" w:cstheme="minorBidi"/>
                <w:bCs/>
                <w:color w:val="000000" w:themeColor="text1"/>
                <w:szCs w:val="18"/>
                <w:lang w:val="fr-FR"/>
              </w:rPr>
              <w:t>Atamanov</w:t>
            </w:r>
            <w:proofErr w:type="spellEnd"/>
            <w:r w:rsidRPr="00CB3116">
              <w:rPr>
                <w:rFonts w:asciiTheme="minorBidi" w:hAnsiTheme="minorBidi" w:cstheme="minorBidi"/>
                <w:bCs/>
                <w:color w:val="000000" w:themeColor="text1"/>
                <w:szCs w:val="18"/>
                <w:lang w:val="fr-FR"/>
              </w:rPr>
              <w:t xml:space="preserve">, </w:t>
            </w:r>
            <w:proofErr w:type="spellStart"/>
            <w:r w:rsidRPr="00CB3116">
              <w:rPr>
                <w:rFonts w:asciiTheme="minorBidi" w:hAnsiTheme="minorBidi" w:cstheme="minorBidi"/>
                <w:bCs/>
                <w:color w:val="000000" w:themeColor="text1"/>
                <w:szCs w:val="18"/>
                <w:lang w:val="fr-FR"/>
              </w:rPr>
              <w:t>Yelemessova</w:t>
            </w:r>
            <w:proofErr w:type="spellEnd"/>
            <w:r w:rsidRPr="00CB3116">
              <w:rPr>
                <w:rFonts w:asciiTheme="minorBidi" w:hAnsiTheme="minorBidi" w:cstheme="minorBidi"/>
                <w:bCs/>
                <w:color w:val="000000" w:themeColor="text1"/>
                <w:szCs w:val="18"/>
                <w:lang w:val="fr-FR"/>
              </w:rPr>
              <w:t xml:space="preserve">, et al. 2019). </w:t>
            </w:r>
            <w:proofErr w:type="spellStart"/>
            <w:proofErr w:type="gramStart"/>
            <w:r w:rsidRPr="00CB3116">
              <w:rPr>
                <w:rFonts w:asciiTheme="minorBidi" w:hAnsiTheme="minorBidi" w:cstheme="minorBidi"/>
                <w:bCs/>
                <w:color w:val="000000" w:themeColor="text1"/>
                <w:szCs w:val="18"/>
                <w:lang w:val="fr-FR"/>
              </w:rPr>
              <w:t>samples</w:t>
            </w:r>
            <w:proofErr w:type="spellEnd"/>
            <w:proofErr w:type="gramEnd"/>
            <w:r w:rsidRPr="00CB3116">
              <w:rPr>
                <w:rFonts w:asciiTheme="minorBidi" w:hAnsiTheme="minorBidi" w:cstheme="minorBidi"/>
                <w:bCs/>
                <w:color w:val="000000" w:themeColor="text1"/>
                <w:szCs w:val="18"/>
                <w:lang w:val="fr-FR"/>
              </w:rPr>
              <w:t xml:space="preserve"> ... </w:t>
            </w:r>
            <w:r w:rsidRPr="00CB3116">
              <w:rPr>
                <w:rFonts w:asciiTheme="minorBidi" w:hAnsiTheme="minorBidi" w:cstheme="minorBidi"/>
                <w:bCs/>
                <w:color w:val="000000" w:themeColor="text1"/>
                <w:szCs w:val="18"/>
              </w:rPr>
              <w:t>" there</w:t>
            </w:r>
          </w:p>
          <w:p w14:paraId="2B2FE378" w14:textId="77777777" w:rsidR="003658A7" w:rsidRPr="00CB3116" w:rsidRDefault="003658A7" w:rsidP="00864D0F">
            <w:pPr>
              <w:spacing w:line="276" w:lineRule="auto"/>
              <w:rPr>
                <w:rFonts w:asciiTheme="minorBidi" w:hAnsiTheme="minorBidi" w:cstheme="minorBidi"/>
                <w:bCs/>
                <w:color w:val="000000" w:themeColor="text1"/>
                <w:szCs w:val="18"/>
              </w:rPr>
            </w:pPr>
            <w:r w:rsidRPr="00CB3116">
              <w:rPr>
                <w:rFonts w:asciiTheme="minorBidi" w:hAnsiTheme="minorBidi" w:cstheme="minorBidi"/>
                <w:bCs/>
                <w:color w:val="000000" w:themeColor="text1"/>
                <w:szCs w:val="18"/>
              </w:rPr>
              <w:t xml:space="preserve">is </w:t>
            </w:r>
            <w:proofErr w:type="gramStart"/>
            <w:r w:rsidRPr="00CB3116">
              <w:rPr>
                <w:rFonts w:asciiTheme="minorBidi" w:hAnsiTheme="minorBidi" w:cstheme="minorBidi"/>
                <w:bCs/>
                <w:color w:val="000000" w:themeColor="text1"/>
                <w:szCs w:val="18"/>
              </w:rPr>
              <w:t>a .</w:t>
            </w:r>
            <w:proofErr w:type="gramEnd"/>
            <w:r w:rsidRPr="00CB3116">
              <w:rPr>
                <w:rFonts w:asciiTheme="minorBidi" w:hAnsiTheme="minorBidi" w:cstheme="minorBidi"/>
                <w:bCs/>
                <w:color w:val="000000" w:themeColor="text1"/>
                <w:szCs w:val="18"/>
              </w:rPr>
              <w:t xml:space="preserve"> between the citation and samples</w:t>
            </w:r>
          </w:p>
          <w:p w14:paraId="67362A90" w14:textId="77777777" w:rsidR="003658A7" w:rsidRPr="00CB3116" w:rsidRDefault="003658A7" w:rsidP="00864D0F">
            <w:pPr>
              <w:spacing w:line="276" w:lineRule="auto"/>
              <w:rPr>
                <w:rFonts w:asciiTheme="minorBidi" w:hAnsiTheme="minorBidi" w:cstheme="minorBidi"/>
                <w:bCs/>
                <w:color w:val="000000" w:themeColor="text1"/>
                <w:szCs w:val="18"/>
              </w:rPr>
            </w:pPr>
            <w:r w:rsidRPr="00CB3116">
              <w:rPr>
                <w:rFonts w:asciiTheme="minorBidi" w:hAnsiTheme="minorBidi" w:cstheme="minorBidi"/>
                <w:bCs/>
                <w:color w:val="000000" w:themeColor="text1"/>
                <w:szCs w:val="18"/>
              </w:rPr>
              <w:t>3) sec 2.3 and 5 Adsorption desorption while in the abstract is written adsorption-desorption.</w:t>
            </w:r>
          </w:p>
          <w:p w14:paraId="240BCA74" w14:textId="77777777" w:rsidR="003658A7" w:rsidRPr="00CB3116" w:rsidRDefault="003658A7" w:rsidP="00864D0F">
            <w:pPr>
              <w:spacing w:line="276" w:lineRule="auto"/>
              <w:rPr>
                <w:rFonts w:asciiTheme="minorBidi" w:hAnsiTheme="minorBidi" w:cstheme="minorBidi"/>
                <w:bCs/>
                <w:color w:val="000000" w:themeColor="text1"/>
                <w:szCs w:val="18"/>
              </w:rPr>
            </w:pPr>
            <w:r w:rsidRPr="00CB3116">
              <w:rPr>
                <w:rFonts w:asciiTheme="minorBidi" w:hAnsiTheme="minorBidi" w:cstheme="minorBidi"/>
                <w:bCs/>
                <w:color w:val="000000" w:themeColor="text1"/>
                <w:szCs w:val="18"/>
              </w:rPr>
              <w:t>4) sec 3 "</w:t>
            </w:r>
            <w:proofErr w:type="gramStart"/>
            <w:r w:rsidRPr="00CB3116">
              <w:rPr>
                <w:rFonts w:asciiTheme="minorBidi" w:hAnsiTheme="minorBidi" w:cstheme="minorBidi"/>
                <w:bCs/>
                <w:color w:val="000000" w:themeColor="text1"/>
                <w:szCs w:val="18"/>
              </w:rPr>
              <w:t>Where,...</w:t>
            </w:r>
            <w:proofErr w:type="gramEnd"/>
            <w:r w:rsidRPr="00CB3116">
              <w:rPr>
                <w:rFonts w:asciiTheme="minorBidi" w:hAnsiTheme="minorBidi" w:cstheme="minorBidi"/>
                <w:bCs/>
                <w:color w:val="000000" w:themeColor="text1"/>
                <w:szCs w:val="18"/>
              </w:rPr>
              <w:t>" without comma.</w:t>
            </w:r>
          </w:p>
          <w:p w14:paraId="73628C72" w14:textId="77777777" w:rsidR="003658A7" w:rsidRPr="00CB3116" w:rsidRDefault="003658A7" w:rsidP="00864D0F">
            <w:pPr>
              <w:spacing w:line="276" w:lineRule="auto"/>
              <w:rPr>
                <w:rFonts w:asciiTheme="minorBidi" w:hAnsiTheme="minorBidi" w:cstheme="minorBidi"/>
                <w:bCs/>
                <w:color w:val="000000" w:themeColor="text1"/>
                <w:szCs w:val="18"/>
              </w:rPr>
            </w:pPr>
            <w:r w:rsidRPr="00CB3116">
              <w:rPr>
                <w:rFonts w:asciiTheme="minorBidi" w:hAnsiTheme="minorBidi" w:cstheme="minorBidi"/>
                <w:bCs/>
                <w:color w:val="000000" w:themeColor="text1"/>
                <w:szCs w:val="18"/>
              </w:rPr>
              <w:t xml:space="preserve">5) sec 4.2 </w:t>
            </w:r>
            <w:proofErr w:type="gramStart"/>
            <w:r w:rsidRPr="00CB3116">
              <w:rPr>
                <w:rFonts w:asciiTheme="minorBidi" w:hAnsiTheme="minorBidi" w:cstheme="minorBidi"/>
                <w:bCs/>
                <w:color w:val="000000" w:themeColor="text1"/>
                <w:szCs w:val="18"/>
              </w:rPr>
              <w:t>"..</w:t>
            </w:r>
            <w:proofErr w:type="gramEnd"/>
            <w:r w:rsidRPr="00CB3116">
              <w:rPr>
                <w:rFonts w:asciiTheme="minorBidi" w:hAnsiTheme="minorBidi" w:cstheme="minorBidi"/>
                <w:bCs/>
                <w:color w:val="000000" w:themeColor="text1"/>
                <w:szCs w:val="18"/>
              </w:rPr>
              <w:t>thermokinetic..." in the title is define as thermo-kinetic.</w:t>
            </w:r>
          </w:p>
          <w:p w14:paraId="26B2D61F" w14:textId="77777777" w:rsidR="003658A7" w:rsidRPr="00CB3116" w:rsidRDefault="003658A7" w:rsidP="00864D0F">
            <w:pPr>
              <w:spacing w:line="276" w:lineRule="auto"/>
              <w:rPr>
                <w:rFonts w:asciiTheme="minorBidi" w:hAnsiTheme="minorBidi" w:cstheme="minorBidi"/>
                <w:bCs/>
                <w:color w:val="000000" w:themeColor="text1"/>
                <w:szCs w:val="18"/>
              </w:rPr>
            </w:pPr>
            <w:r w:rsidRPr="00CB3116">
              <w:rPr>
                <w:rFonts w:asciiTheme="minorBidi" w:hAnsiTheme="minorBidi" w:cstheme="minorBidi"/>
                <w:bCs/>
                <w:color w:val="000000" w:themeColor="text1"/>
                <w:szCs w:val="18"/>
              </w:rPr>
              <w:t>6) sec 4.2 "Tpeak", peak can be set as subscript</w:t>
            </w:r>
          </w:p>
          <w:p w14:paraId="35CD1B89" w14:textId="77777777" w:rsidR="003658A7" w:rsidRPr="00CB3116" w:rsidRDefault="003658A7" w:rsidP="00864D0F">
            <w:pPr>
              <w:spacing w:line="276" w:lineRule="auto"/>
              <w:rPr>
                <w:rFonts w:asciiTheme="minorBidi" w:hAnsiTheme="minorBidi" w:cstheme="minorBidi"/>
                <w:bCs/>
                <w:color w:val="000000" w:themeColor="text1"/>
                <w:szCs w:val="18"/>
              </w:rPr>
            </w:pPr>
            <w:r w:rsidRPr="00CB3116">
              <w:rPr>
                <w:rFonts w:asciiTheme="minorBidi" w:hAnsiTheme="minorBidi" w:cstheme="minorBidi"/>
                <w:bCs/>
                <w:color w:val="000000" w:themeColor="text1"/>
                <w:szCs w:val="18"/>
              </w:rPr>
              <w:t>7) Bibliography:</w:t>
            </w:r>
          </w:p>
          <w:p w14:paraId="18A61A0F" w14:textId="77777777" w:rsidR="003658A7" w:rsidRPr="00CB3116" w:rsidRDefault="003658A7" w:rsidP="00864D0F">
            <w:pPr>
              <w:spacing w:line="276" w:lineRule="auto"/>
              <w:rPr>
                <w:rFonts w:asciiTheme="minorBidi" w:hAnsiTheme="minorBidi" w:cstheme="minorBidi"/>
                <w:bCs/>
                <w:color w:val="000000" w:themeColor="text1"/>
                <w:szCs w:val="18"/>
              </w:rPr>
            </w:pPr>
            <w:r w:rsidRPr="00CB3116">
              <w:rPr>
                <w:rFonts w:asciiTheme="minorBidi" w:hAnsiTheme="minorBidi" w:cstheme="minorBidi"/>
                <w:bCs/>
                <w:color w:val="000000" w:themeColor="text1"/>
                <w:szCs w:val="18"/>
              </w:rPr>
              <w:t xml:space="preserve">for </w:t>
            </w:r>
            <w:proofErr w:type="gramStart"/>
            <w:r w:rsidRPr="00CB3116">
              <w:rPr>
                <w:rFonts w:asciiTheme="minorBidi" w:hAnsiTheme="minorBidi" w:cstheme="minorBidi"/>
                <w:bCs/>
                <w:color w:val="000000" w:themeColor="text1"/>
                <w:szCs w:val="18"/>
              </w:rPr>
              <w:t>example  [</w:t>
            </w:r>
            <w:proofErr w:type="gramEnd"/>
            <w:r w:rsidRPr="00CB3116">
              <w:rPr>
                <w:rFonts w:asciiTheme="minorBidi" w:hAnsiTheme="minorBidi" w:cstheme="minorBidi"/>
                <w:bCs/>
                <w:color w:val="000000" w:themeColor="text1"/>
                <w:szCs w:val="18"/>
              </w:rPr>
              <w:t xml:space="preserve">1] </w:t>
            </w:r>
            <w:proofErr w:type="spellStart"/>
            <w:r w:rsidRPr="00CB3116">
              <w:rPr>
                <w:rFonts w:asciiTheme="minorBidi" w:hAnsiTheme="minorBidi" w:cstheme="minorBidi"/>
                <w:bCs/>
                <w:color w:val="000000" w:themeColor="text1"/>
                <w:szCs w:val="18"/>
              </w:rPr>
              <w:t>ChemCatChem</w:t>
            </w:r>
            <w:proofErr w:type="spellEnd"/>
            <w:r w:rsidRPr="00CB3116">
              <w:rPr>
                <w:rFonts w:asciiTheme="minorBidi" w:hAnsiTheme="minorBidi" w:cstheme="minorBidi"/>
                <w:bCs/>
                <w:color w:val="000000" w:themeColor="text1"/>
                <w:szCs w:val="18"/>
              </w:rPr>
              <w:t xml:space="preserve"> ? Check that they are in accordance with the CET format. Some references are outdated (older than 15-20 years) and should be replaced with more recent studies (post-2020) on catalytic decomposition of energetic materials.</w:t>
            </w:r>
          </w:p>
        </w:tc>
      </w:tr>
      <w:tr w:rsidR="003658A7" w:rsidRPr="00CB3116" w14:paraId="53F387FD" w14:textId="77777777" w:rsidTr="00BA4EF5">
        <w:tc>
          <w:tcPr>
            <w:tcW w:w="1555" w:type="dxa"/>
            <w:shd w:val="clear" w:color="auto" w:fill="auto"/>
            <w:tcMar>
              <w:top w:w="57" w:type="dxa"/>
              <w:bottom w:w="57" w:type="dxa"/>
            </w:tcMar>
          </w:tcPr>
          <w:p w14:paraId="09CD6246" w14:textId="77777777" w:rsidR="003658A7" w:rsidRPr="00CB3116" w:rsidRDefault="003658A7" w:rsidP="00864D0F">
            <w:pPr>
              <w:spacing w:line="276" w:lineRule="auto"/>
              <w:rPr>
                <w:rFonts w:asciiTheme="minorBidi" w:hAnsiTheme="minorBidi" w:cstheme="minorBidi"/>
                <w:b/>
                <w:color w:val="0000FF"/>
                <w:szCs w:val="18"/>
              </w:rPr>
            </w:pPr>
            <w:r w:rsidRPr="00CB3116">
              <w:rPr>
                <w:rFonts w:asciiTheme="minorBidi" w:hAnsiTheme="minorBidi" w:cstheme="minorBidi"/>
                <w:b/>
                <w:color w:val="0000FF"/>
                <w:szCs w:val="18"/>
              </w:rPr>
              <w:t>Answer</w:t>
            </w:r>
          </w:p>
        </w:tc>
        <w:tc>
          <w:tcPr>
            <w:tcW w:w="8079" w:type="dxa"/>
            <w:shd w:val="clear" w:color="auto" w:fill="auto"/>
            <w:tcMar>
              <w:top w:w="57" w:type="dxa"/>
              <w:bottom w:w="57" w:type="dxa"/>
            </w:tcMar>
          </w:tcPr>
          <w:p w14:paraId="273FC19E" w14:textId="77777777" w:rsidR="003658A7" w:rsidRPr="00CB3116" w:rsidRDefault="003658A7" w:rsidP="00864D0F">
            <w:pPr>
              <w:spacing w:line="276" w:lineRule="auto"/>
              <w:rPr>
                <w:rFonts w:asciiTheme="minorBidi" w:hAnsiTheme="minorBidi" w:cstheme="minorBidi"/>
                <w:bCs/>
                <w:color w:val="000000" w:themeColor="text1"/>
                <w:szCs w:val="18"/>
              </w:rPr>
            </w:pPr>
            <w:r w:rsidRPr="00CB3116">
              <w:rPr>
                <w:rFonts w:asciiTheme="minorBidi" w:hAnsiTheme="minorBidi" w:cstheme="minorBidi"/>
                <w:bCs/>
                <w:color w:val="000000" w:themeColor="text1"/>
                <w:szCs w:val="18"/>
              </w:rPr>
              <w:t>We sincerely thank the reviewer for their meticulous attention to detail. All suggested corrections related to grammar, formatting, and consistency have been carefully implemented. Furthermore, we have reviewed the reference list and replaced outdated citations with more recent studies on catalytic decomposition of energetic materials.</w:t>
            </w:r>
          </w:p>
        </w:tc>
      </w:tr>
      <w:tr w:rsidR="003658A7" w:rsidRPr="00CB3116" w14:paraId="3123FC5A" w14:textId="77777777" w:rsidTr="00BA4EF5">
        <w:tc>
          <w:tcPr>
            <w:tcW w:w="1555" w:type="dxa"/>
            <w:shd w:val="clear" w:color="auto" w:fill="auto"/>
            <w:tcMar>
              <w:top w:w="57" w:type="dxa"/>
              <w:bottom w:w="57" w:type="dxa"/>
            </w:tcMar>
          </w:tcPr>
          <w:p w14:paraId="40B4DA97" w14:textId="77777777" w:rsidR="003658A7" w:rsidRPr="00CB3116" w:rsidRDefault="003658A7" w:rsidP="00864D0F">
            <w:pPr>
              <w:spacing w:line="276" w:lineRule="auto"/>
              <w:rPr>
                <w:rFonts w:asciiTheme="minorBidi" w:hAnsiTheme="minorBidi" w:cstheme="minorBidi"/>
                <w:b/>
                <w:color w:val="0000FF"/>
                <w:szCs w:val="18"/>
              </w:rPr>
            </w:pPr>
            <w:r w:rsidRPr="00CB3116">
              <w:rPr>
                <w:rFonts w:asciiTheme="minorBidi" w:hAnsiTheme="minorBidi" w:cstheme="minorBidi"/>
                <w:b/>
                <w:color w:val="0000FF"/>
                <w:szCs w:val="18"/>
              </w:rPr>
              <w:t>Changes made</w:t>
            </w:r>
          </w:p>
        </w:tc>
        <w:tc>
          <w:tcPr>
            <w:tcW w:w="8079" w:type="dxa"/>
            <w:shd w:val="clear" w:color="auto" w:fill="auto"/>
            <w:tcMar>
              <w:top w:w="57" w:type="dxa"/>
              <w:bottom w:w="57" w:type="dxa"/>
            </w:tcMar>
          </w:tcPr>
          <w:p w14:paraId="753298FC" w14:textId="77777777" w:rsidR="003658A7" w:rsidRPr="00CB3116" w:rsidRDefault="003658A7" w:rsidP="00864D0F">
            <w:pPr>
              <w:spacing w:line="276" w:lineRule="auto"/>
              <w:rPr>
                <w:rFonts w:asciiTheme="minorBidi" w:hAnsiTheme="minorBidi" w:cstheme="minorBidi"/>
                <w:b/>
                <w:color w:val="0000FF"/>
                <w:szCs w:val="18"/>
              </w:rPr>
            </w:pPr>
            <w:r w:rsidRPr="00CB3116">
              <w:rPr>
                <w:rFonts w:asciiTheme="minorBidi" w:hAnsiTheme="minorBidi" w:cstheme="minorBidi"/>
                <w:b/>
                <w:color w:val="0000FF"/>
                <w:szCs w:val="18"/>
              </w:rPr>
              <w:t>The required modifications have been done.</w:t>
            </w:r>
          </w:p>
        </w:tc>
      </w:tr>
    </w:tbl>
    <w:p w14:paraId="49B3A733" w14:textId="77777777" w:rsidR="00637D37" w:rsidRPr="00F2643E" w:rsidRDefault="00637D37" w:rsidP="003658A7">
      <w:pPr>
        <w:pStyle w:val="CETReferencetext"/>
        <w:ind w:left="0" w:firstLine="0"/>
      </w:pPr>
    </w:p>
    <w:sectPr w:rsidR="00637D37" w:rsidRPr="00F2643E"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A5AC6" w14:textId="77777777" w:rsidR="00EA2C44" w:rsidRDefault="00EA2C44" w:rsidP="004F5E36">
      <w:r>
        <w:separator/>
      </w:r>
    </w:p>
  </w:endnote>
  <w:endnote w:type="continuationSeparator" w:id="0">
    <w:p w14:paraId="6B828B32" w14:textId="77777777" w:rsidR="00EA2C44" w:rsidRDefault="00EA2C44"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charset w:val="00"/>
    <w:family w:val="swiss"/>
    <w:pitch w:val="variable"/>
    <w:sig w:usb0="E1002EFF" w:usb1="C000605B" w:usb2="00000029" w:usb3="00000000" w:csb0="000101FF" w:csb1="00000000"/>
  </w:font>
  <w:font w:name="Consolas">
    <w:charset w:val="00"/>
    <w:family w:val="modern"/>
    <w:pitch w:val="fixed"/>
    <w:sig w:usb0="E10002FF" w:usb1="4000FCFF" w:usb2="00000009"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 w:name="Cambria Math">
    <w:panose1 w:val="00000000000000000000"/>
    <w:charset w:val="00"/>
    <w:family w:val="roman"/>
    <w:pitch w:val="variable"/>
    <w:sig w:usb0="A00002EF" w:usb1="420020E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9F455E" w14:textId="77777777" w:rsidR="00EA2C44" w:rsidRDefault="00EA2C44" w:rsidP="004F5E36">
      <w:r>
        <w:separator/>
      </w:r>
    </w:p>
  </w:footnote>
  <w:footnote w:type="continuationSeparator" w:id="0">
    <w:p w14:paraId="07935A2A" w14:textId="77777777" w:rsidR="00EA2C44" w:rsidRDefault="00EA2C44" w:rsidP="004F5E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38D4ABF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au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BB62F16"/>
    <w:multiLevelType w:val="hybridMultilevel"/>
    <w:tmpl w:val="900A4D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3"/>
  </w:num>
  <w:num w:numId="14">
    <w:abstractNumId w:val="19"/>
  </w:num>
  <w:num w:numId="15">
    <w:abstractNumId w:val="22"/>
  </w:num>
  <w:num w:numId="16">
    <w:abstractNumId w:val="21"/>
  </w:num>
  <w:num w:numId="17">
    <w:abstractNumId w:val="12"/>
  </w:num>
  <w:num w:numId="18">
    <w:abstractNumId w:val="13"/>
    <w:lvlOverride w:ilvl="0">
      <w:startOverride w:val="1"/>
    </w:lvlOverride>
  </w:num>
  <w:num w:numId="19">
    <w:abstractNumId w:val="17"/>
  </w:num>
  <w:num w:numId="20">
    <w:abstractNumId w:val="16"/>
  </w:num>
  <w:num w:numId="21">
    <w:abstractNumId w:val="15"/>
  </w:num>
  <w:num w:numId="22">
    <w:abstractNumId w:val="14"/>
  </w:num>
  <w:num w:numId="23">
    <w:abstractNumId w:val="10"/>
  </w:num>
  <w:num w:numId="24">
    <w:abstractNumId w:val="11"/>
  </w:num>
  <w:num w:numId="25">
    <w:abstractNumId w:val="11"/>
  </w:num>
  <w:num w:numId="26">
    <w:abstractNumId w:val="20"/>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 w:name="EN.InstantFormat" w:val="&lt;ENInstantFormat&gt;&lt;Enabled&gt;1&lt;/Enabled&gt;&lt;ScanUnformatted&gt;1&lt;/ScanUnformatted&gt;&lt;ScanChanges&gt;1&lt;/ScanChanges&gt;&lt;Suspended&gt;0&lt;/Suspended&gt;&lt;/ENInstantFormat&gt;"/>
    <w:docVar w:name="EN.Layout" w:val="&lt;ENLayout&gt;&lt;Style&gt;African J Aquatic Science Copy&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dvpdv0smwr5wzetve1paxxrd52essr05fre&quot;&gt;papoer 6 Copy&lt;record-ids&gt;&lt;item&gt;2&lt;/item&gt;&lt;item&gt;22&lt;/item&gt;&lt;item&gt;23&lt;/item&gt;&lt;item&gt;25&lt;/item&gt;&lt;item&gt;26&lt;/item&gt;&lt;item&gt;30&lt;/item&gt;&lt;item&gt;32&lt;/item&gt;&lt;item&gt;33&lt;/item&gt;&lt;item&gt;34&lt;/item&gt;&lt;item&gt;35&lt;/item&gt;&lt;item&gt;37&lt;/item&gt;&lt;item&gt;38&lt;/item&gt;&lt;item&gt;41&lt;/item&gt;&lt;item&gt;42&lt;/item&gt;&lt;item&gt;54&lt;/item&gt;&lt;item&gt;68&lt;/item&gt;&lt;item&gt;70&lt;/item&gt;&lt;item&gt;73&lt;/item&gt;&lt;item&gt;88&lt;/item&gt;&lt;item&gt;90&lt;/item&gt;&lt;item&gt;96&lt;/item&gt;&lt;item&gt;98&lt;/item&gt;&lt;item&gt;104&lt;/item&gt;&lt;item&gt;109&lt;/item&gt;&lt;item&gt;126&lt;/item&gt;&lt;item&gt;140&lt;/item&gt;&lt;item&gt;144&lt;/item&gt;&lt;item&gt;176&lt;/item&gt;&lt;item&gt;185&lt;/item&gt;&lt;item&gt;188&lt;/item&gt;&lt;item&gt;189&lt;/item&gt;&lt;/record-ids&gt;&lt;/item&gt;&lt;/Libraries&gt;"/>
  </w:docVars>
  <w:rsids>
    <w:rsidRoot w:val="000E414A"/>
    <w:rsid w:val="000027C0"/>
    <w:rsid w:val="000052FB"/>
    <w:rsid w:val="00005A19"/>
    <w:rsid w:val="000117CB"/>
    <w:rsid w:val="000301DB"/>
    <w:rsid w:val="0003148D"/>
    <w:rsid w:val="00031EEC"/>
    <w:rsid w:val="00035343"/>
    <w:rsid w:val="00045E7E"/>
    <w:rsid w:val="00051566"/>
    <w:rsid w:val="000562A9"/>
    <w:rsid w:val="00062A9A"/>
    <w:rsid w:val="00065058"/>
    <w:rsid w:val="00086C39"/>
    <w:rsid w:val="0008725A"/>
    <w:rsid w:val="000A03B2"/>
    <w:rsid w:val="000D0268"/>
    <w:rsid w:val="000D34BE"/>
    <w:rsid w:val="000E0B3C"/>
    <w:rsid w:val="000E102F"/>
    <w:rsid w:val="000E36F1"/>
    <w:rsid w:val="000E3A73"/>
    <w:rsid w:val="000E414A"/>
    <w:rsid w:val="000E75FD"/>
    <w:rsid w:val="000F093C"/>
    <w:rsid w:val="000F1834"/>
    <w:rsid w:val="000F787B"/>
    <w:rsid w:val="00101CBA"/>
    <w:rsid w:val="00102837"/>
    <w:rsid w:val="00103131"/>
    <w:rsid w:val="00104571"/>
    <w:rsid w:val="00106C53"/>
    <w:rsid w:val="0012091F"/>
    <w:rsid w:val="00126BC2"/>
    <w:rsid w:val="001308B6"/>
    <w:rsid w:val="0013121F"/>
    <w:rsid w:val="00131FE6"/>
    <w:rsid w:val="0013263F"/>
    <w:rsid w:val="001331DF"/>
    <w:rsid w:val="00134DE4"/>
    <w:rsid w:val="0014034D"/>
    <w:rsid w:val="00140FE3"/>
    <w:rsid w:val="00143DD8"/>
    <w:rsid w:val="00144D16"/>
    <w:rsid w:val="00150B8A"/>
    <w:rsid w:val="00150E59"/>
    <w:rsid w:val="00152DE3"/>
    <w:rsid w:val="00164CF9"/>
    <w:rsid w:val="0016668E"/>
    <w:rsid w:val="001667A6"/>
    <w:rsid w:val="0018171E"/>
    <w:rsid w:val="00184AD6"/>
    <w:rsid w:val="001947FB"/>
    <w:rsid w:val="001A4AF7"/>
    <w:rsid w:val="001A6795"/>
    <w:rsid w:val="001B0349"/>
    <w:rsid w:val="001B1CAA"/>
    <w:rsid w:val="001B1E93"/>
    <w:rsid w:val="001B65C1"/>
    <w:rsid w:val="001C260F"/>
    <w:rsid w:val="001C5C3A"/>
    <w:rsid w:val="001C643D"/>
    <w:rsid w:val="001C684B"/>
    <w:rsid w:val="001D0CFB"/>
    <w:rsid w:val="001D21AF"/>
    <w:rsid w:val="001D3D32"/>
    <w:rsid w:val="001D53FC"/>
    <w:rsid w:val="001E3C7F"/>
    <w:rsid w:val="001F42A5"/>
    <w:rsid w:val="001F7878"/>
    <w:rsid w:val="001F7B9D"/>
    <w:rsid w:val="00201C93"/>
    <w:rsid w:val="00210316"/>
    <w:rsid w:val="002224B4"/>
    <w:rsid w:val="00233D2D"/>
    <w:rsid w:val="00235946"/>
    <w:rsid w:val="00236B49"/>
    <w:rsid w:val="00242C6A"/>
    <w:rsid w:val="00244785"/>
    <w:rsid w:val="002447EF"/>
    <w:rsid w:val="00251550"/>
    <w:rsid w:val="0025779B"/>
    <w:rsid w:val="00263B05"/>
    <w:rsid w:val="00267221"/>
    <w:rsid w:val="00267C71"/>
    <w:rsid w:val="0027221A"/>
    <w:rsid w:val="0027578A"/>
    <w:rsid w:val="00275B61"/>
    <w:rsid w:val="00280FAF"/>
    <w:rsid w:val="00282656"/>
    <w:rsid w:val="002864BE"/>
    <w:rsid w:val="00296B83"/>
    <w:rsid w:val="002B4015"/>
    <w:rsid w:val="002B78CE"/>
    <w:rsid w:val="002C2FB6"/>
    <w:rsid w:val="002E5FA7"/>
    <w:rsid w:val="002F3309"/>
    <w:rsid w:val="003008CE"/>
    <w:rsid w:val="003009B7"/>
    <w:rsid w:val="00300E56"/>
    <w:rsid w:val="0030152C"/>
    <w:rsid w:val="003039C2"/>
    <w:rsid w:val="0030469C"/>
    <w:rsid w:val="00304CE8"/>
    <w:rsid w:val="00314E7F"/>
    <w:rsid w:val="00321CA6"/>
    <w:rsid w:val="00323763"/>
    <w:rsid w:val="00323C5F"/>
    <w:rsid w:val="00323ED0"/>
    <w:rsid w:val="00333937"/>
    <w:rsid w:val="00334C09"/>
    <w:rsid w:val="003364AB"/>
    <w:rsid w:val="00346C16"/>
    <w:rsid w:val="003633A7"/>
    <w:rsid w:val="00364748"/>
    <w:rsid w:val="003658A7"/>
    <w:rsid w:val="00370757"/>
    <w:rsid w:val="003723D4"/>
    <w:rsid w:val="00381905"/>
    <w:rsid w:val="00384CC8"/>
    <w:rsid w:val="003871FD"/>
    <w:rsid w:val="003A1D9F"/>
    <w:rsid w:val="003A1E30"/>
    <w:rsid w:val="003A2829"/>
    <w:rsid w:val="003A7D1C"/>
    <w:rsid w:val="003B304B"/>
    <w:rsid w:val="003B3146"/>
    <w:rsid w:val="003B49CD"/>
    <w:rsid w:val="003C32EC"/>
    <w:rsid w:val="003D1E02"/>
    <w:rsid w:val="003F015E"/>
    <w:rsid w:val="00400414"/>
    <w:rsid w:val="00404050"/>
    <w:rsid w:val="0041446B"/>
    <w:rsid w:val="00427C74"/>
    <w:rsid w:val="00431903"/>
    <w:rsid w:val="0044071E"/>
    <w:rsid w:val="0044329C"/>
    <w:rsid w:val="00443A16"/>
    <w:rsid w:val="00453E24"/>
    <w:rsid w:val="004554ED"/>
    <w:rsid w:val="00457456"/>
    <w:rsid w:val="004577FE"/>
    <w:rsid w:val="00457B9C"/>
    <w:rsid w:val="00460841"/>
    <w:rsid w:val="0046164A"/>
    <w:rsid w:val="004628D2"/>
    <w:rsid w:val="00462DCD"/>
    <w:rsid w:val="004648AD"/>
    <w:rsid w:val="00465E55"/>
    <w:rsid w:val="004703A9"/>
    <w:rsid w:val="004760DE"/>
    <w:rsid w:val="004763D7"/>
    <w:rsid w:val="00482E32"/>
    <w:rsid w:val="004A004E"/>
    <w:rsid w:val="004A0E91"/>
    <w:rsid w:val="004A14E7"/>
    <w:rsid w:val="004A24CF"/>
    <w:rsid w:val="004C3D1D"/>
    <w:rsid w:val="004C3D84"/>
    <w:rsid w:val="004C470C"/>
    <w:rsid w:val="004C6302"/>
    <w:rsid w:val="004C7913"/>
    <w:rsid w:val="004E0BC5"/>
    <w:rsid w:val="004E3997"/>
    <w:rsid w:val="004E4DD6"/>
    <w:rsid w:val="004F441A"/>
    <w:rsid w:val="004F5E36"/>
    <w:rsid w:val="004F602E"/>
    <w:rsid w:val="00507B47"/>
    <w:rsid w:val="00507BEF"/>
    <w:rsid w:val="00507CC9"/>
    <w:rsid w:val="005119A5"/>
    <w:rsid w:val="00517A1F"/>
    <w:rsid w:val="005206F4"/>
    <w:rsid w:val="005278B7"/>
    <w:rsid w:val="00530E34"/>
    <w:rsid w:val="00532016"/>
    <w:rsid w:val="005346C8"/>
    <w:rsid w:val="00537714"/>
    <w:rsid w:val="00543E7D"/>
    <w:rsid w:val="00547A68"/>
    <w:rsid w:val="005531C9"/>
    <w:rsid w:val="00554879"/>
    <w:rsid w:val="005604FC"/>
    <w:rsid w:val="00560C94"/>
    <w:rsid w:val="00570C43"/>
    <w:rsid w:val="00577F2B"/>
    <w:rsid w:val="00582D35"/>
    <w:rsid w:val="00592274"/>
    <w:rsid w:val="005A3228"/>
    <w:rsid w:val="005B0DB0"/>
    <w:rsid w:val="005B2110"/>
    <w:rsid w:val="005B3068"/>
    <w:rsid w:val="005B350B"/>
    <w:rsid w:val="005B61E6"/>
    <w:rsid w:val="005C5457"/>
    <w:rsid w:val="005C68BF"/>
    <w:rsid w:val="005C77E1"/>
    <w:rsid w:val="005D1E21"/>
    <w:rsid w:val="005D668A"/>
    <w:rsid w:val="005D6A2F"/>
    <w:rsid w:val="005E0592"/>
    <w:rsid w:val="005E1A82"/>
    <w:rsid w:val="005E4F32"/>
    <w:rsid w:val="005E794C"/>
    <w:rsid w:val="005F0A28"/>
    <w:rsid w:val="005F0CF3"/>
    <w:rsid w:val="005F0E5E"/>
    <w:rsid w:val="00600535"/>
    <w:rsid w:val="00610CD6"/>
    <w:rsid w:val="0061158D"/>
    <w:rsid w:val="00612D57"/>
    <w:rsid w:val="00620DEE"/>
    <w:rsid w:val="00621F92"/>
    <w:rsid w:val="0062280A"/>
    <w:rsid w:val="00622BED"/>
    <w:rsid w:val="006231E1"/>
    <w:rsid w:val="00625639"/>
    <w:rsid w:val="00626342"/>
    <w:rsid w:val="006265A5"/>
    <w:rsid w:val="00631889"/>
    <w:rsid w:val="00631B33"/>
    <w:rsid w:val="00637D37"/>
    <w:rsid w:val="0064184D"/>
    <w:rsid w:val="006422CC"/>
    <w:rsid w:val="00642878"/>
    <w:rsid w:val="0064449E"/>
    <w:rsid w:val="00651D18"/>
    <w:rsid w:val="00660E3E"/>
    <w:rsid w:val="006628F0"/>
    <w:rsid w:val="00662E74"/>
    <w:rsid w:val="00680C23"/>
    <w:rsid w:val="00681F09"/>
    <w:rsid w:val="00683326"/>
    <w:rsid w:val="00683E23"/>
    <w:rsid w:val="00683E7E"/>
    <w:rsid w:val="00693766"/>
    <w:rsid w:val="006A3281"/>
    <w:rsid w:val="006A6DE5"/>
    <w:rsid w:val="006B4888"/>
    <w:rsid w:val="006B67D9"/>
    <w:rsid w:val="006C2E45"/>
    <w:rsid w:val="006C359C"/>
    <w:rsid w:val="006C4DCD"/>
    <w:rsid w:val="006C5579"/>
    <w:rsid w:val="006D6E8B"/>
    <w:rsid w:val="006D71EB"/>
    <w:rsid w:val="006D7209"/>
    <w:rsid w:val="006E737D"/>
    <w:rsid w:val="00707DD1"/>
    <w:rsid w:val="00713973"/>
    <w:rsid w:val="00720A24"/>
    <w:rsid w:val="00732386"/>
    <w:rsid w:val="00732ED7"/>
    <w:rsid w:val="0073514D"/>
    <w:rsid w:val="007447F3"/>
    <w:rsid w:val="00747BEE"/>
    <w:rsid w:val="0075499F"/>
    <w:rsid w:val="007661C8"/>
    <w:rsid w:val="0077098D"/>
    <w:rsid w:val="00773F5F"/>
    <w:rsid w:val="00774528"/>
    <w:rsid w:val="00774F4B"/>
    <w:rsid w:val="00783CE2"/>
    <w:rsid w:val="00785BF9"/>
    <w:rsid w:val="00786397"/>
    <w:rsid w:val="007931FA"/>
    <w:rsid w:val="007A4861"/>
    <w:rsid w:val="007A7BBA"/>
    <w:rsid w:val="007B0C50"/>
    <w:rsid w:val="007B48F9"/>
    <w:rsid w:val="007C1A43"/>
    <w:rsid w:val="007D0951"/>
    <w:rsid w:val="007D34B9"/>
    <w:rsid w:val="007D4D11"/>
    <w:rsid w:val="007D59FA"/>
    <w:rsid w:val="007D610D"/>
    <w:rsid w:val="0080013E"/>
    <w:rsid w:val="00801759"/>
    <w:rsid w:val="00810298"/>
    <w:rsid w:val="0081326B"/>
    <w:rsid w:val="00813288"/>
    <w:rsid w:val="008168FC"/>
    <w:rsid w:val="00825347"/>
    <w:rsid w:val="0082745E"/>
    <w:rsid w:val="00830996"/>
    <w:rsid w:val="00833992"/>
    <w:rsid w:val="008345F1"/>
    <w:rsid w:val="008360EE"/>
    <w:rsid w:val="0084411D"/>
    <w:rsid w:val="008500CD"/>
    <w:rsid w:val="0085568B"/>
    <w:rsid w:val="00865B07"/>
    <w:rsid w:val="008667EA"/>
    <w:rsid w:val="00875615"/>
    <w:rsid w:val="0087637F"/>
    <w:rsid w:val="00887745"/>
    <w:rsid w:val="00892AD5"/>
    <w:rsid w:val="008A1512"/>
    <w:rsid w:val="008B1408"/>
    <w:rsid w:val="008B17EE"/>
    <w:rsid w:val="008B563F"/>
    <w:rsid w:val="008D2BBD"/>
    <w:rsid w:val="008D32B9"/>
    <w:rsid w:val="008D433B"/>
    <w:rsid w:val="008D4A16"/>
    <w:rsid w:val="008E5401"/>
    <w:rsid w:val="008E566E"/>
    <w:rsid w:val="008E78AB"/>
    <w:rsid w:val="008F1336"/>
    <w:rsid w:val="0090161A"/>
    <w:rsid w:val="00901EB6"/>
    <w:rsid w:val="009041F8"/>
    <w:rsid w:val="00904C62"/>
    <w:rsid w:val="00914EB8"/>
    <w:rsid w:val="00916779"/>
    <w:rsid w:val="00922ACB"/>
    <w:rsid w:val="00922BA8"/>
    <w:rsid w:val="009238F2"/>
    <w:rsid w:val="00923967"/>
    <w:rsid w:val="00924DAC"/>
    <w:rsid w:val="00927058"/>
    <w:rsid w:val="009335F2"/>
    <w:rsid w:val="00942750"/>
    <w:rsid w:val="009450CE"/>
    <w:rsid w:val="009459BB"/>
    <w:rsid w:val="00947179"/>
    <w:rsid w:val="00950E45"/>
    <w:rsid w:val="0095164B"/>
    <w:rsid w:val="00954090"/>
    <w:rsid w:val="009573E7"/>
    <w:rsid w:val="00960945"/>
    <w:rsid w:val="00961078"/>
    <w:rsid w:val="00963E05"/>
    <w:rsid w:val="00963E71"/>
    <w:rsid w:val="00964A45"/>
    <w:rsid w:val="009675F4"/>
    <w:rsid w:val="00967843"/>
    <w:rsid w:val="00967D54"/>
    <w:rsid w:val="00971028"/>
    <w:rsid w:val="00991743"/>
    <w:rsid w:val="00993B84"/>
    <w:rsid w:val="00994C6A"/>
    <w:rsid w:val="00996483"/>
    <w:rsid w:val="00996F5A"/>
    <w:rsid w:val="009B041A"/>
    <w:rsid w:val="009B6E57"/>
    <w:rsid w:val="009C37C3"/>
    <w:rsid w:val="009C7C86"/>
    <w:rsid w:val="009D2969"/>
    <w:rsid w:val="009D2FF7"/>
    <w:rsid w:val="009E174C"/>
    <w:rsid w:val="009E7884"/>
    <w:rsid w:val="009E788A"/>
    <w:rsid w:val="009E7EC5"/>
    <w:rsid w:val="009F0E08"/>
    <w:rsid w:val="009F4E5F"/>
    <w:rsid w:val="00A00E1D"/>
    <w:rsid w:val="00A079AE"/>
    <w:rsid w:val="00A07F1E"/>
    <w:rsid w:val="00A15F64"/>
    <w:rsid w:val="00A1763D"/>
    <w:rsid w:val="00A17CEC"/>
    <w:rsid w:val="00A27EF0"/>
    <w:rsid w:val="00A316D6"/>
    <w:rsid w:val="00A42361"/>
    <w:rsid w:val="00A50B20"/>
    <w:rsid w:val="00A51390"/>
    <w:rsid w:val="00A56F69"/>
    <w:rsid w:val="00A60D13"/>
    <w:rsid w:val="00A7223D"/>
    <w:rsid w:val="00A72745"/>
    <w:rsid w:val="00A76EFC"/>
    <w:rsid w:val="00A8368D"/>
    <w:rsid w:val="00A87D50"/>
    <w:rsid w:val="00A91010"/>
    <w:rsid w:val="00A97F29"/>
    <w:rsid w:val="00AA2C04"/>
    <w:rsid w:val="00AA6A30"/>
    <w:rsid w:val="00AA702E"/>
    <w:rsid w:val="00AA7D26"/>
    <w:rsid w:val="00AB0964"/>
    <w:rsid w:val="00AB5011"/>
    <w:rsid w:val="00AC7368"/>
    <w:rsid w:val="00AD16B9"/>
    <w:rsid w:val="00AE0591"/>
    <w:rsid w:val="00AE377D"/>
    <w:rsid w:val="00AF0EBA"/>
    <w:rsid w:val="00AF2463"/>
    <w:rsid w:val="00B02C8A"/>
    <w:rsid w:val="00B0723A"/>
    <w:rsid w:val="00B17FBD"/>
    <w:rsid w:val="00B315A6"/>
    <w:rsid w:val="00B31813"/>
    <w:rsid w:val="00B33365"/>
    <w:rsid w:val="00B468BB"/>
    <w:rsid w:val="00B50483"/>
    <w:rsid w:val="00B56626"/>
    <w:rsid w:val="00B57B36"/>
    <w:rsid w:val="00B57E6F"/>
    <w:rsid w:val="00B62580"/>
    <w:rsid w:val="00B6628A"/>
    <w:rsid w:val="00B743FE"/>
    <w:rsid w:val="00B8686D"/>
    <w:rsid w:val="00B92526"/>
    <w:rsid w:val="00B93F69"/>
    <w:rsid w:val="00BA4EF5"/>
    <w:rsid w:val="00BA73C4"/>
    <w:rsid w:val="00BB1DDC"/>
    <w:rsid w:val="00BC25DB"/>
    <w:rsid w:val="00BC30C9"/>
    <w:rsid w:val="00BC36CC"/>
    <w:rsid w:val="00BC372E"/>
    <w:rsid w:val="00BD077D"/>
    <w:rsid w:val="00BE3E58"/>
    <w:rsid w:val="00BE4F57"/>
    <w:rsid w:val="00BF0F59"/>
    <w:rsid w:val="00BF13CE"/>
    <w:rsid w:val="00BF7A60"/>
    <w:rsid w:val="00C01616"/>
    <w:rsid w:val="00C0162B"/>
    <w:rsid w:val="00C0185B"/>
    <w:rsid w:val="00C020FC"/>
    <w:rsid w:val="00C068ED"/>
    <w:rsid w:val="00C06D39"/>
    <w:rsid w:val="00C106A0"/>
    <w:rsid w:val="00C15C6C"/>
    <w:rsid w:val="00C21413"/>
    <w:rsid w:val="00C218B1"/>
    <w:rsid w:val="00C22E0C"/>
    <w:rsid w:val="00C22EC3"/>
    <w:rsid w:val="00C261DE"/>
    <w:rsid w:val="00C345B1"/>
    <w:rsid w:val="00C4005F"/>
    <w:rsid w:val="00C40142"/>
    <w:rsid w:val="00C51BCF"/>
    <w:rsid w:val="00C52C3C"/>
    <w:rsid w:val="00C57182"/>
    <w:rsid w:val="00C57863"/>
    <w:rsid w:val="00C62E59"/>
    <w:rsid w:val="00C640AF"/>
    <w:rsid w:val="00C655FD"/>
    <w:rsid w:val="00C75407"/>
    <w:rsid w:val="00C841C6"/>
    <w:rsid w:val="00C84905"/>
    <w:rsid w:val="00C870A8"/>
    <w:rsid w:val="00C94434"/>
    <w:rsid w:val="00CA0D75"/>
    <w:rsid w:val="00CA1C95"/>
    <w:rsid w:val="00CA5A9C"/>
    <w:rsid w:val="00CB1F82"/>
    <w:rsid w:val="00CB3116"/>
    <w:rsid w:val="00CC4C20"/>
    <w:rsid w:val="00CC5361"/>
    <w:rsid w:val="00CD3296"/>
    <w:rsid w:val="00CD3517"/>
    <w:rsid w:val="00CD5FE2"/>
    <w:rsid w:val="00CE7C68"/>
    <w:rsid w:val="00D00D12"/>
    <w:rsid w:val="00D02B4C"/>
    <w:rsid w:val="00D040C4"/>
    <w:rsid w:val="00D10167"/>
    <w:rsid w:val="00D16CB1"/>
    <w:rsid w:val="00D20AD1"/>
    <w:rsid w:val="00D2582C"/>
    <w:rsid w:val="00D406B6"/>
    <w:rsid w:val="00D4264B"/>
    <w:rsid w:val="00D44559"/>
    <w:rsid w:val="00D46B7E"/>
    <w:rsid w:val="00D57126"/>
    <w:rsid w:val="00D57C84"/>
    <w:rsid w:val="00D6057D"/>
    <w:rsid w:val="00D71640"/>
    <w:rsid w:val="00D836C5"/>
    <w:rsid w:val="00D84576"/>
    <w:rsid w:val="00DA1399"/>
    <w:rsid w:val="00DA24C6"/>
    <w:rsid w:val="00DA4D7B"/>
    <w:rsid w:val="00DC2840"/>
    <w:rsid w:val="00DC73EE"/>
    <w:rsid w:val="00DD1685"/>
    <w:rsid w:val="00DD271C"/>
    <w:rsid w:val="00DE05E8"/>
    <w:rsid w:val="00DE264A"/>
    <w:rsid w:val="00DF5072"/>
    <w:rsid w:val="00DF7791"/>
    <w:rsid w:val="00E02D18"/>
    <w:rsid w:val="00E03C08"/>
    <w:rsid w:val="00E041E7"/>
    <w:rsid w:val="00E07FEE"/>
    <w:rsid w:val="00E12719"/>
    <w:rsid w:val="00E23CA1"/>
    <w:rsid w:val="00E33507"/>
    <w:rsid w:val="00E35FCE"/>
    <w:rsid w:val="00E40789"/>
    <w:rsid w:val="00E409A8"/>
    <w:rsid w:val="00E50C12"/>
    <w:rsid w:val="00E51A4E"/>
    <w:rsid w:val="00E62FDC"/>
    <w:rsid w:val="00E65B91"/>
    <w:rsid w:val="00E7209D"/>
    <w:rsid w:val="00E72EAD"/>
    <w:rsid w:val="00E73A19"/>
    <w:rsid w:val="00E77223"/>
    <w:rsid w:val="00E8528B"/>
    <w:rsid w:val="00E85B94"/>
    <w:rsid w:val="00E941E0"/>
    <w:rsid w:val="00E96BD2"/>
    <w:rsid w:val="00E978D0"/>
    <w:rsid w:val="00EA1716"/>
    <w:rsid w:val="00EA2C44"/>
    <w:rsid w:val="00EA3854"/>
    <w:rsid w:val="00EA4613"/>
    <w:rsid w:val="00EA7F91"/>
    <w:rsid w:val="00EB1523"/>
    <w:rsid w:val="00EC0E49"/>
    <w:rsid w:val="00EC101F"/>
    <w:rsid w:val="00EC1AE0"/>
    <w:rsid w:val="00EC1D9F"/>
    <w:rsid w:val="00ED73DB"/>
    <w:rsid w:val="00EE0131"/>
    <w:rsid w:val="00EE17B0"/>
    <w:rsid w:val="00EF06D9"/>
    <w:rsid w:val="00F05A03"/>
    <w:rsid w:val="00F11C0C"/>
    <w:rsid w:val="00F2643E"/>
    <w:rsid w:val="00F3049E"/>
    <w:rsid w:val="00F30C64"/>
    <w:rsid w:val="00F3194C"/>
    <w:rsid w:val="00F32BA2"/>
    <w:rsid w:val="00F32CDB"/>
    <w:rsid w:val="00F41EE4"/>
    <w:rsid w:val="00F565FE"/>
    <w:rsid w:val="00F62321"/>
    <w:rsid w:val="00F63A70"/>
    <w:rsid w:val="00F63D8C"/>
    <w:rsid w:val="00F7534E"/>
    <w:rsid w:val="00F766ED"/>
    <w:rsid w:val="00F84D97"/>
    <w:rsid w:val="00F93EDF"/>
    <w:rsid w:val="00FA1802"/>
    <w:rsid w:val="00FA21D0"/>
    <w:rsid w:val="00FA5F5F"/>
    <w:rsid w:val="00FB1C7A"/>
    <w:rsid w:val="00FB730C"/>
    <w:rsid w:val="00FC2695"/>
    <w:rsid w:val="00FC3E03"/>
    <w:rsid w:val="00FC3FC1"/>
    <w:rsid w:val="00FD1213"/>
    <w:rsid w:val="00FF2303"/>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re1">
    <w:name w:val="heading 1"/>
    <w:basedOn w:val="CETHeading1"/>
    <w:next w:val="Normal"/>
    <w:link w:val="Titre1Car"/>
    <w:uiPriority w:val="9"/>
    <w:rsid w:val="004F5E36"/>
    <w:pPr>
      <w:tabs>
        <w:tab w:val="right" w:pos="7100"/>
      </w:tabs>
      <w:jc w:val="both"/>
      <w:outlineLvl w:val="0"/>
    </w:pPr>
    <w:rPr>
      <w:lang w:val="en-GB"/>
    </w:rPr>
  </w:style>
  <w:style w:type="paragraph" w:styleId="Titre2">
    <w:name w:val="heading 2"/>
    <w:basedOn w:val="Normal"/>
    <w:next w:val="Normal"/>
    <w:link w:val="Titre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443A16"/>
    <w:pPr>
      <w:keepNext/>
      <w:numPr>
        <w:ilvl w:val="2"/>
        <w:numId w:val="1"/>
      </w:numPr>
      <w:suppressAutoHyphens/>
      <w:spacing w:before="24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ausimple1">
    <w:name w:val="Table Simple 1"/>
    <w:basedOn w:val="Tableau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443A16"/>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Marquedecommentaire">
    <w:name w:val="annotation reference"/>
    <w:basedOn w:val="Policepardfaut"/>
    <w:uiPriority w:val="99"/>
    <w:semiHidden/>
    <w:unhideWhenUsed/>
    <w:rsid w:val="004577FE"/>
    <w:rPr>
      <w:sz w:val="16"/>
      <w:szCs w:val="16"/>
    </w:rPr>
  </w:style>
  <w:style w:type="paragraph" w:styleId="Textedebulles">
    <w:name w:val="Balloon Text"/>
    <w:basedOn w:val="Normal"/>
    <w:link w:val="TextedebullesCar"/>
    <w:uiPriority w:val="99"/>
    <w:semiHidden/>
    <w:unhideWhenUsed/>
    <w:rsid w:val="000D34B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34BE"/>
    <w:rPr>
      <w:rFonts w:ascii="Tahoma" w:hAnsi="Tahoma" w:cs="Tahoma"/>
      <w:sz w:val="16"/>
      <w:szCs w:val="16"/>
    </w:rPr>
  </w:style>
  <w:style w:type="paragraph" w:styleId="Bibliographie">
    <w:name w:val="Bibliography"/>
    <w:basedOn w:val="CETReferencetext"/>
    <w:uiPriority w:val="37"/>
    <w:unhideWhenUsed/>
    <w:rsid w:val="00631B33"/>
    <w:pPr>
      <w:spacing w:line="240" w:lineRule="auto"/>
      <w:ind w:left="720" w:hanging="720"/>
    </w:pPr>
  </w:style>
  <w:style w:type="paragraph" w:styleId="Corpsdetexte2">
    <w:name w:val="Body Text 2"/>
    <w:basedOn w:val="Normal"/>
    <w:link w:val="Corpsdetexte2Car"/>
    <w:uiPriority w:val="99"/>
    <w:semiHidden/>
    <w:unhideWhenUsed/>
    <w:rsid w:val="0003148D"/>
    <w:pPr>
      <w:spacing w:after="120" w:line="480" w:lineRule="auto"/>
    </w:pPr>
  </w:style>
  <w:style w:type="character" w:customStyle="1" w:styleId="Corpsdetexte2Car">
    <w:name w:val="Corps de texte 2 Car"/>
    <w:basedOn w:val="Policepardfaut"/>
    <w:link w:val="Corpsdetexte2"/>
    <w:uiPriority w:val="99"/>
    <w:semiHidden/>
    <w:rsid w:val="0003148D"/>
  </w:style>
  <w:style w:type="paragraph" w:styleId="Corpsdetexte3">
    <w:name w:val="Body Text 3"/>
    <w:basedOn w:val="Normal"/>
    <w:link w:val="Corpsdetexte3Car"/>
    <w:uiPriority w:val="99"/>
    <w:semiHidden/>
    <w:unhideWhenUsed/>
    <w:rsid w:val="0003148D"/>
    <w:pPr>
      <w:spacing w:after="120"/>
    </w:pPr>
    <w:rPr>
      <w:sz w:val="16"/>
      <w:szCs w:val="16"/>
    </w:rPr>
  </w:style>
  <w:style w:type="character" w:customStyle="1" w:styleId="Corpsdetexte3Car">
    <w:name w:val="Corps de texte 3 Car"/>
    <w:basedOn w:val="Policepardfaut"/>
    <w:link w:val="Corpsdetexte3"/>
    <w:uiPriority w:val="99"/>
    <w:semiHidden/>
    <w:rsid w:val="0003148D"/>
    <w:rPr>
      <w:sz w:val="16"/>
      <w:szCs w:val="16"/>
    </w:rPr>
  </w:style>
  <w:style w:type="paragraph" w:styleId="Corpsdetexte">
    <w:name w:val="Body Text"/>
    <w:basedOn w:val="Normal"/>
    <w:link w:val="CorpsdetexteCar"/>
    <w:uiPriority w:val="99"/>
    <w:semiHidden/>
    <w:unhideWhenUsed/>
    <w:rsid w:val="0003148D"/>
    <w:pPr>
      <w:spacing w:after="120"/>
    </w:pPr>
  </w:style>
  <w:style w:type="character" w:customStyle="1" w:styleId="CorpsdetexteCar">
    <w:name w:val="Corps de texte Car"/>
    <w:basedOn w:val="Policepardfaut"/>
    <w:link w:val="Corpsdetexte"/>
    <w:uiPriority w:val="99"/>
    <w:semiHidden/>
    <w:rsid w:val="0003148D"/>
  </w:style>
  <w:style w:type="paragraph" w:styleId="Date">
    <w:name w:val="Date"/>
    <w:basedOn w:val="Normal"/>
    <w:next w:val="Normal"/>
    <w:link w:val="DateCar"/>
    <w:uiPriority w:val="99"/>
    <w:semiHidden/>
    <w:unhideWhenUsed/>
    <w:rsid w:val="0003148D"/>
  </w:style>
  <w:style w:type="character" w:customStyle="1" w:styleId="DateCar">
    <w:name w:val="Date Car"/>
    <w:basedOn w:val="Policepardfaut"/>
    <w:link w:val="Date"/>
    <w:uiPriority w:val="99"/>
    <w:semiHidden/>
    <w:rsid w:val="0003148D"/>
  </w:style>
  <w:style w:type="paragraph" w:styleId="Lgende">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e">
    <w:name w:val="List"/>
    <w:basedOn w:val="Normal"/>
    <w:uiPriority w:val="99"/>
    <w:semiHidden/>
    <w:unhideWhenUsed/>
    <w:rsid w:val="0003148D"/>
    <w:pPr>
      <w:ind w:left="283" w:hanging="283"/>
      <w:contextualSpacing/>
    </w:pPr>
  </w:style>
  <w:style w:type="paragraph" w:styleId="Liste2">
    <w:name w:val="List 2"/>
    <w:basedOn w:val="Normal"/>
    <w:uiPriority w:val="99"/>
    <w:semiHidden/>
    <w:unhideWhenUsed/>
    <w:rsid w:val="0003148D"/>
    <w:pPr>
      <w:ind w:left="566" w:hanging="283"/>
      <w:contextualSpacing/>
    </w:pPr>
  </w:style>
  <w:style w:type="paragraph" w:styleId="Liste3">
    <w:name w:val="List 3"/>
    <w:basedOn w:val="Normal"/>
    <w:uiPriority w:val="99"/>
    <w:semiHidden/>
    <w:unhideWhenUsed/>
    <w:rsid w:val="0003148D"/>
    <w:pPr>
      <w:ind w:left="849" w:hanging="283"/>
      <w:contextualSpacing/>
    </w:pPr>
  </w:style>
  <w:style w:type="paragraph" w:styleId="Liste4">
    <w:name w:val="List 4"/>
    <w:basedOn w:val="Normal"/>
    <w:uiPriority w:val="99"/>
    <w:semiHidden/>
    <w:unhideWhenUsed/>
    <w:rsid w:val="0003148D"/>
    <w:pPr>
      <w:ind w:left="1132" w:hanging="283"/>
      <w:contextualSpacing/>
    </w:pPr>
  </w:style>
  <w:style w:type="paragraph" w:styleId="Liste5">
    <w:name w:val="List 5"/>
    <w:basedOn w:val="Normal"/>
    <w:uiPriority w:val="99"/>
    <w:semiHidden/>
    <w:unhideWhenUsed/>
    <w:rsid w:val="0003148D"/>
    <w:pPr>
      <w:ind w:left="1415" w:hanging="283"/>
      <w:contextualSpacing/>
    </w:pPr>
  </w:style>
  <w:style w:type="paragraph" w:styleId="Listecontinue">
    <w:name w:val="List Continue"/>
    <w:basedOn w:val="Normal"/>
    <w:uiPriority w:val="99"/>
    <w:semiHidden/>
    <w:unhideWhenUsed/>
    <w:rsid w:val="0003148D"/>
    <w:pPr>
      <w:spacing w:after="120"/>
      <w:ind w:left="283"/>
      <w:contextualSpacing/>
    </w:pPr>
  </w:style>
  <w:style w:type="paragraph" w:styleId="Listecontinue2">
    <w:name w:val="List Continue 2"/>
    <w:basedOn w:val="Normal"/>
    <w:uiPriority w:val="99"/>
    <w:semiHidden/>
    <w:unhideWhenUsed/>
    <w:rsid w:val="0003148D"/>
    <w:pPr>
      <w:spacing w:after="120"/>
      <w:ind w:left="566"/>
      <w:contextualSpacing/>
    </w:pPr>
  </w:style>
  <w:style w:type="paragraph" w:styleId="Listecontinue3">
    <w:name w:val="List Continue 3"/>
    <w:basedOn w:val="Normal"/>
    <w:uiPriority w:val="99"/>
    <w:semiHidden/>
    <w:unhideWhenUsed/>
    <w:rsid w:val="0003148D"/>
    <w:pPr>
      <w:spacing w:after="120"/>
      <w:ind w:left="849"/>
      <w:contextualSpacing/>
    </w:pPr>
  </w:style>
  <w:style w:type="paragraph" w:styleId="Listecontinue4">
    <w:name w:val="List Continue 4"/>
    <w:basedOn w:val="Normal"/>
    <w:uiPriority w:val="99"/>
    <w:semiHidden/>
    <w:unhideWhenUsed/>
    <w:rsid w:val="0003148D"/>
    <w:pPr>
      <w:spacing w:after="120"/>
      <w:ind w:left="1132"/>
      <w:contextualSpacing/>
    </w:pPr>
  </w:style>
  <w:style w:type="paragraph" w:styleId="Liste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ar"/>
    <w:uiPriority w:val="99"/>
    <w:semiHidden/>
    <w:unhideWhenUsed/>
    <w:rsid w:val="0003148D"/>
    <w:pPr>
      <w:spacing w:line="240" w:lineRule="auto"/>
      <w:ind w:left="4252"/>
    </w:pPr>
  </w:style>
  <w:style w:type="character" w:customStyle="1" w:styleId="SignatureCar">
    <w:name w:val="Signature Car"/>
    <w:basedOn w:val="Policepardfaut"/>
    <w:link w:val="Signature"/>
    <w:uiPriority w:val="99"/>
    <w:semiHidden/>
    <w:rsid w:val="0003148D"/>
  </w:style>
  <w:style w:type="paragraph" w:styleId="Signaturelectronique">
    <w:name w:val="E-mail Signature"/>
    <w:basedOn w:val="Normal"/>
    <w:link w:val="SignaturelectroniqueCar"/>
    <w:uiPriority w:val="99"/>
    <w:semiHidden/>
    <w:unhideWhenUsed/>
    <w:rsid w:val="0003148D"/>
    <w:pPr>
      <w:spacing w:line="240" w:lineRule="auto"/>
    </w:pPr>
  </w:style>
  <w:style w:type="character" w:customStyle="1" w:styleId="SignaturelectroniqueCar">
    <w:name w:val="Signature électronique Car"/>
    <w:basedOn w:val="Policepardfaut"/>
    <w:link w:val="Signaturelectronique"/>
    <w:uiPriority w:val="99"/>
    <w:semiHidden/>
    <w:rsid w:val="0003148D"/>
  </w:style>
  <w:style w:type="paragraph" w:styleId="Salutations">
    <w:name w:val="Salutation"/>
    <w:basedOn w:val="Normal"/>
    <w:next w:val="Normal"/>
    <w:link w:val="SalutationsCar"/>
    <w:uiPriority w:val="99"/>
    <w:semiHidden/>
    <w:unhideWhenUsed/>
    <w:rsid w:val="0003148D"/>
  </w:style>
  <w:style w:type="character" w:customStyle="1" w:styleId="SalutationsCar">
    <w:name w:val="Salutations Car"/>
    <w:basedOn w:val="Policepardfaut"/>
    <w:link w:val="Salutations"/>
    <w:uiPriority w:val="99"/>
    <w:semiHidden/>
    <w:rsid w:val="0003148D"/>
  </w:style>
  <w:style w:type="paragraph" w:styleId="Formuledepolitesse">
    <w:name w:val="Closing"/>
    <w:basedOn w:val="Normal"/>
    <w:link w:val="FormuledepolitesseCar"/>
    <w:uiPriority w:val="99"/>
    <w:semiHidden/>
    <w:unhideWhenUsed/>
    <w:rsid w:val="0003148D"/>
    <w:pPr>
      <w:spacing w:line="240" w:lineRule="auto"/>
      <w:ind w:left="4252"/>
    </w:pPr>
  </w:style>
  <w:style w:type="character" w:customStyle="1" w:styleId="FormuledepolitesseCar">
    <w:name w:val="Formule de politesse Car"/>
    <w:basedOn w:val="Policepardfaut"/>
    <w:link w:val="Formuledepolitesse"/>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desillustrations">
    <w:name w:val="table of figures"/>
    <w:basedOn w:val="Normal"/>
    <w:next w:val="Normal"/>
    <w:uiPriority w:val="99"/>
    <w:semiHidden/>
    <w:unhideWhenUsed/>
    <w:rsid w:val="0003148D"/>
  </w:style>
  <w:style w:type="paragraph" w:styleId="Tabledesrfrencesjuridiques">
    <w:name w:val="table of authorities"/>
    <w:basedOn w:val="Normal"/>
    <w:next w:val="Normal"/>
    <w:uiPriority w:val="99"/>
    <w:semiHidden/>
    <w:unhideWhenUsed/>
    <w:rsid w:val="0003148D"/>
    <w:pPr>
      <w:ind w:left="220" w:hanging="220"/>
    </w:pPr>
  </w:style>
  <w:style w:type="paragraph" w:styleId="Adressedestinatai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seHTML">
    <w:name w:val="HTML Address"/>
    <w:basedOn w:val="Normal"/>
    <w:link w:val="AdresseHTMLCar"/>
    <w:uiPriority w:val="99"/>
    <w:semiHidden/>
    <w:unhideWhenUsed/>
    <w:rsid w:val="0003148D"/>
    <w:pPr>
      <w:spacing w:line="240" w:lineRule="auto"/>
    </w:pPr>
    <w:rPr>
      <w:i/>
      <w:iCs/>
    </w:rPr>
  </w:style>
  <w:style w:type="character" w:customStyle="1" w:styleId="AdresseHTMLCar">
    <w:name w:val="Adresse HTML Car"/>
    <w:basedOn w:val="Policepardfaut"/>
    <w:link w:val="AdresseHTML"/>
    <w:uiPriority w:val="99"/>
    <w:semiHidden/>
    <w:rsid w:val="0003148D"/>
    <w:rPr>
      <w:i/>
      <w:iCs/>
    </w:rPr>
  </w:style>
  <w:style w:type="paragraph" w:styleId="Adresseexpditeur">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ttedemessage">
    <w:name w:val="Message Header"/>
    <w:basedOn w:val="Normal"/>
    <w:link w:val="En-ttedemessag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03148D"/>
    <w:rPr>
      <w:rFonts w:asciiTheme="majorHAnsi" w:eastAsiaTheme="majorEastAsia" w:hAnsiTheme="majorHAnsi" w:cstheme="majorBidi"/>
      <w:sz w:val="24"/>
      <w:szCs w:val="24"/>
      <w:shd w:val="pct20" w:color="auto" w:fill="auto"/>
    </w:rPr>
  </w:style>
  <w:style w:type="paragraph" w:styleId="Titredenote">
    <w:name w:val="Note Heading"/>
    <w:basedOn w:val="Normal"/>
    <w:next w:val="Normal"/>
    <w:link w:val="TitredenoteCar"/>
    <w:uiPriority w:val="99"/>
    <w:semiHidden/>
    <w:unhideWhenUsed/>
    <w:rsid w:val="0003148D"/>
    <w:pPr>
      <w:spacing w:line="240" w:lineRule="auto"/>
    </w:pPr>
  </w:style>
  <w:style w:type="character" w:customStyle="1" w:styleId="TitredenoteCar">
    <w:name w:val="Titre de note Car"/>
    <w:basedOn w:val="Policepardfaut"/>
    <w:link w:val="Titredenote"/>
    <w:uiPriority w:val="99"/>
    <w:semiHidden/>
    <w:rsid w:val="0003148D"/>
  </w:style>
  <w:style w:type="paragraph" w:styleId="Explorateurdedocuments">
    <w:name w:val="Document Map"/>
    <w:basedOn w:val="Normal"/>
    <w:link w:val="ExplorateurdedocumentsCar"/>
    <w:uiPriority w:val="99"/>
    <w:semiHidden/>
    <w:unhideWhenUsed/>
    <w:rsid w:val="0003148D"/>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enumros">
    <w:name w:val="List Number"/>
    <w:basedOn w:val="Normal"/>
    <w:uiPriority w:val="99"/>
    <w:semiHidden/>
    <w:unhideWhenUsed/>
    <w:rsid w:val="0003148D"/>
    <w:pPr>
      <w:numPr>
        <w:numId w:val="2"/>
      </w:numPr>
      <w:contextualSpacing/>
    </w:pPr>
  </w:style>
  <w:style w:type="paragraph" w:styleId="Listenumros2">
    <w:name w:val="List Number 2"/>
    <w:basedOn w:val="Normal"/>
    <w:uiPriority w:val="99"/>
    <w:semiHidden/>
    <w:unhideWhenUsed/>
    <w:rsid w:val="0003148D"/>
    <w:pPr>
      <w:numPr>
        <w:numId w:val="3"/>
      </w:numPr>
      <w:contextualSpacing/>
    </w:pPr>
  </w:style>
  <w:style w:type="paragraph" w:styleId="Listenumros3">
    <w:name w:val="List Number 3"/>
    <w:basedOn w:val="Normal"/>
    <w:uiPriority w:val="99"/>
    <w:semiHidden/>
    <w:unhideWhenUsed/>
    <w:rsid w:val="0003148D"/>
    <w:pPr>
      <w:numPr>
        <w:numId w:val="4"/>
      </w:numPr>
      <w:contextualSpacing/>
    </w:pPr>
  </w:style>
  <w:style w:type="paragraph" w:styleId="Listenumros4">
    <w:name w:val="List Number 4"/>
    <w:basedOn w:val="Normal"/>
    <w:uiPriority w:val="99"/>
    <w:semiHidden/>
    <w:unhideWhenUsed/>
    <w:rsid w:val="0003148D"/>
    <w:pPr>
      <w:numPr>
        <w:numId w:val="5"/>
      </w:numPr>
      <w:contextualSpacing/>
    </w:pPr>
  </w:style>
  <w:style w:type="paragraph" w:styleId="Listenumros5">
    <w:name w:val="List Number 5"/>
    <w:basedOn w:val="Normal"/>
    <w:uiPriority w:val="99"/>
    <w:semiHidden/>
    <w:unhideWhenUsed/>
    <w:rsid w:val="0003148D"/>
    <w:pPr>
      <w:numPr>
        <w:numId w:val="6"/>
      </w:numPr>
      <w:contextualSpacing/>
    </w:pPr>
  </w:style>
  <w:style w:type="paragraph" w:styleId="PrformatHTML">
    <w:name w:val="HTML Preformatted"/>
    <w:basedOn w:val="Normal"/>
    <w:link w:val="PrformatHTMLCar"/>
    <w:uiPriority w:val="99"/>
    <w:semiHidden/>
    <w:unhideWhenUsed/>
    <w:rsid w:val="0003148D"/>
    <w:pPr>
      <w:spacing w:line="240" w:lineRule="auto"/>
    </w:pPr>
    <w:rPr>
      <w:rFonts w:ascii="Consolas" w:hAnsi="Consolas" w:cs="Consolas"/>
    </w:rPr>
  </w:style>
  <w:style w:type="character" w:customStyle="1" w:styleId="PrformatHTMLCar">
    <w:name w:val="Préformaté HTML Car"/>
    <w:basedOn w:val="Policepardfaut"/>
    <w:link w:val="PrformatHTML"/>
    <w:uiPriority w:val="99"/>
    <w:semiHidden/>
    <w:rsid w:val="0003148D"/>
    <w:rPr>
      <w:rFonts w:ascii="Consolas" w:hAnsi="Consolas" w:cs="Consolas"/>
      <w:sz w:val="20"/>
      <w:szCs w:val="20"/>
    </w:rPr>
  </w:style>
  <w:style w:type="paragraph" w:styleId="Retrait1religne">
    <w:name w:val="Body Text First Indent"/>
    <w:basedOn w:val="Corpsdetexte"/>
    <w:link w:val="Retrait1religneCar"/>
    <w:uiPriority w:val="99"/>
    <w:semiHidden/>
    <w:unhideWhenUsed/>
    <w:rsid w:val="0003148D"/>
    <w:pPr>
      <w:spacing w:after="200"/>
      <w:ind w:firstLine="360"/>
    </w:pPr>
  </w:style>
  <w:style w:type="character" w:customStyle="1" w:styleId="Retrait1religneCar">
    <w:name w:val="Retrait 1re ligne Car"/>
    <w:basedOn w:val="CorpsdetexteCar"/>
    <w:link w:val="Retrait1religne"/>
    <w:uiPriority w:val="99"/>
    <w:semiHidden/>
    <w:rsid w:val="0003148D"/>
  </w:style>
  <w:style w:type="paragraph" w:styleId="Retraitcorpsdetexte">
    <w:name w:val="Body Text Indent"/>
    <w:basedOn w:val="Normal"/>
    <w:link w:val="RetraitcorpsdetexteCar"/>
    <w:uiPriority w:val="99"/>
    <w:semiHidden/>
    <w:unhideWhenUsed/>
    <w:rsid w:val="0003148D"/>
    <w:pPr>
      <w:spacing w:after="120"/>
      <w:ind w:left="283"/>
    </w:pPr>
  </w:style>
  <w:style w:type="character" w:customStyle="1" w:styleId="RetraitcorpsdetexteCar">
    <w:name w:val="Retrait corps de texte Car"/>
    <w:basedOn w:val="Policepardfaut"/>
    <w:link w:val="Retraitcorpsdetexte"/>
    <w:uiPriority w:val="99"/>
    <w:semiHidden/>
    <w:rsid w:val="0003148D"/>
  </w:style>
  <w:style w:type="paragraph" w:styleId="Retraitcorpset1relig">
    <w:name w:val="Body Text First Indent 2"/>
    <w:basedOn w:val="Retraitcorpsdetexte"/>
    <w:link w:val="Retraitcorpset1religCar"/>
    <w:uiPriority w:val="99"/>
    <w:semiHidden/>
    <w:unhideWhenUsed/>
    <w:rsid w:val="0003148D"/>
    <w:pPr>
      <w:spacing w:after="200"/>
      <w:ind w:left="360" w:firstLine="360"/>
    </w:pPr>
  </w:style>
  <w:style w:type="character" w:customStyle="1" w:styleId="Retraitcorpset1religCar">
    <w:name w:val="Retrait corps et 1re lig. Car"/>
    <w:basedOn w:val="RetraitcorpsdetexteCar"/>
    <w:link w:val="Retraitcorpset1relig"/>
    <w:uiPriority w:val="99"/>
    <w:semiHidden/>
    <w:rsid w:val="0003148D"/>
  </w:style>
  <w:style w:type="paragraph" w:styleId="Listepuces">
    <w:name w:val="List Bullet"/>
    <w:basedOn w:val="Normal"/>
    <w:uiPriority w:val="99"/>
    <w:semiHidden/>
    <w:unhideWhenUsed/>
    <w:rsid w:val="0003148D"/>
    <w:pPr>
      <w:numPr>
        <w:numId w:val="7"/>
      </w:numPr>
      <w:contextualSpacing/>
    </w:pPr>
  </w:style>
  <w:style w:type="paragraph" w:styleId="Listepuces2">
    <w:name w:val="List Bullet 2"/>
    <w:basedOn w:val="Normal"/>
    <w:uiPriority w:val="99"/>
    <w:semiHidden/>
    <w:unhideWhenUsed/>
    <w:rsid w:val="0003148D"/>
    <w:pPr>
      <w:numPr>
        <w:numId w:val="8"/>
      </w:numPr>
      <w:contextualSpacing/>
    </w:pPr>
  </w:style>
  <w:style w:type="paragraph" w:styleId="Listepuces3">
    <w:name w:val="List Bullet 3"/>
    <w:basedOn w:val="Normal"/>
    <w:uiPriority w:val="99"/>
    <w:semiHidden/>
    <w:unhideWhenUsed/>
    <w:rsid w:val="0003148D"/>
    <w:pPr>
      <w:numPr>
        <w:numId w:val="9"/>
      </w:numPr>
      <w:contextualSpacing/>
    </w:pPr>
  </w:style>
  <w:style w:type="paragraph" w:styleId="Listepuces4">
    <w:name w:val="List Bullet 4"/>
    <w:basedOn w:val="Normal"/>
    <w:uiPriority w:val="99"/>
    <w:semiHidden/>
    <w:unhideWhenUsed/>
    <w:rsid w:val="0003148D"/>
    <w:pPr>
      <w:numPr>
        <w:numId w:val="10"/>
      </w:numPr>
      <w:contextualSpacing/>
    </w:pPr>
  </w:style>
  <w:style w:type="paragraph" w:styleId="Listepuces5">
    <w:name w:val="List Bullet 5"/>
    <w:basedOn w:val="Normal"/>
    <w:uiPriority w:val="99"/>
    <w:semiHidden/>
    <w:unhideWhenUsed/>
    <w:rsid w:val="0003148D"/>
    <w:pPr>
      <w:numPr>
        <w:numId w:val="11"/>
      </w:numPr>
      <w:contextualSpacing/>
    </w:pPr>
  </w:style>
  <w:style w:type="paragraph" w:styleId="Retraitcorpsdetexte2">
    <w:name w:val="Body Text Indent 2"/>
    <w:basedOn w:val="Normal"/>
    <w:link w:val="Retraitcorpsdetexte2Car"/>
    <w:uiPriority w:val="99"/>
    <w:semiHidden/>
    <w:unhideWhenUsed/>
    <w:rsid w:val="0003148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03148D"/>
  </w:style>
  <w:style w:type="paragraph" w:styleId="Retraitcorpsdetexte3">
    <w:name w:val="Body Text Indent 3"/>
    <w:basedOn w:val="Normal"/>
    <w:link w:val="Retraitcorpsdetexte3Car"/>
    <w:uiPriority w:val="99"/>
    <w:semiHidden/>
    <w:unhideWhenUsed/>
    <w:rsid w:val="0003148D"/>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03148D"/>
    <w:rPr>
      <w:sz w:val="16"/>
      <w:szCs w:val="16"/>
    </w:rPr>
  </w:style>
  <w:style w:type="paragraph" w:styleId="Retraitnormal">
    <w:name w:val="Normal Indent"/>
    <w:basedOn w:val="Normal"/>
    <w:uiPriority w:val="99"/>
    <w:semiHidden/>
    <w:unhideWhenUsed/>
    <w:rsid w:val="0003148D"/>
    <w:pPr>
      <w:ind w:left="720"/>
    </w:pPr>
  </w:style>
  <w:style w:type="paragraph" w:styleId="Commentaire">
    <w:name w:val="annotation text"/>
    <w:basedOn w:val="Normal"/>
    <w:link w:val="CommentaireCar"/>
    <w:uiPriority w:val="99"/>
    <w:unhideWhenUsed/>
    <w:rsid w:val="0003148D"/>
    <w:pPr>
      <w:spacing w:line="240" w:lineRule="auto"/>
    </w:pPr>
  </w:style>
  <w:style w:type="character" w:customStyle="1" w:styleId="CommentaireCar">
    <w:name w:val="Commentaire Car"/>
    <w:basedOn w:val="Policepardfaut"/>
    <w:link w:val="Commentaire"/>
    <w:uiPriority w:val="99"/>
    <w:rsid w:val="0003148D"/>
    <w:rPr>
      <w:sz w:val="20"/>
      <w:szCs w:val="20"/>
    </w:rPr>
  </w:style>
  <w:style w:type="paragraph" w:styleId="Objetducommentaire">
    <w:name w:val="annotation subject"/>
    <w:basedOn w:val="Commentaire"/>
    <w:next w:val="Commentaire"/>
    <w:link w:val="ObjetducommentaireCar"/>
    <w:uiPriority w:val="99"/>
    <w:semiHidden/>
    <w:unhideWhenUsed/>
    <w:rsid w:val="0003148D"/>
    <w:rPr>
      <w:b/>
      <w:bCs/>
    </w:rPr>
  </w:style>
  <w:style w:type="character" w:customStyle="1" w:styleId="ObjetducommentaireCar">
    <w:name w:val="Objet du commentaire Car"/>
    <w:basedOn w:val="CommentaireCar"/>
    <w:link w:val="Objetducommentaire"/>
    <w:uiPriority w:val="99"/>
    <w:semiHidden/>
    <w:rsid w:val="0003148D"/>
    <w:rPr>
      <w:b/>
      <w:bCs/>
      <w:sz w:val="20"/>
      <w:szCs w:val="20"/>
    </w:rPr>
  </w:style>
  <w:style w:type="paragraph" w:styleId="TM1">
    <w:name w:val="toc 1"/>
    <w:basedOn w:val="Normal"/>
    <w:next w:val="Normal"/>
    <w:autoRedefine/>
    <w:uiPriority w:val="39"/>
    <w:semiHidden/>
    <w:unhideWhenUsed/>
    <w:rsid w:val="0003148D"/>
    <w:pPr>
      <w:spacing w:after="100"/>
    </w:pPr>
  </w:style>
  <w:style w:type="paragraph" w:styleId="TM2">
    <w:name w:val="toc 2"/>
    <w:basedOn w:val="Normal"/>
    <w:next w:val="Normal"/>
    <w:autoRedefine/>
    <w:uiPriority w:val="39"/>
    <w:semiHidden/>
    <w:unhideWhenUsed/>
    <w:rsid w:val="0003148D"/>
    <w:pPr>
      <w:spacing w:after="100"/>
      <w:ind w:left="220"/>
    </w:pPr>
  </w:style>
  <w:style w:type="paragraph" w:styleId="TM3">
    <w:name w:val="toc 3"/>
    <w:basedOn w:val="Normal"/>
    <w:next w:val="Normal"/>
    <w:autoRedefine/>
    <w:uiPriority w:val="39"/>
    <w:semiHidden/>
    <w:unhideWhenUsed/>
    <w:rsid w:val="0003148D"/>
    <w:pPr>
      <w:spacing w:after="100"/>
      <w:ind w:left="440"/>
    </w:pPr>
  </w:style>
  <w:style w:type="paragraph" w:styleId="TM4">
    <w:name w:val="toc 4"/>
    <w:basedOn w:val="Normal"/>
    <w:next w:val="Normal"/>
    <w:autoRedefine/>
    <w:uiPriority w:val="39"/>
    <w:semiHidden/>
    <w:unhideWhenUsed/>
    <w:rsid w:val="0003148D"/>
    <w:pPr>
      <w:spacing w:after="100"/>
      <w:ind w:left="660"/>
    </w:pPr>
  </w:style>
  <w:style w:type="paragraph" w:styleId="TM5">
    <w:name w:val="toc 5"/>
    <w:basedOn w:val="Normal"/>
    <w:next w:val="Normal"/>
    <w:autoRedefine/>
    <w:uiPriority w:val="39"/>
    <w:semiHidden/>
    <w:unhideWhenUsed/>
    <w:rsid w:val="0003148D"/>
    <w:pPr>
      <w:spacing w:after="100"/>
      <w:ind w:left="880"/>
    </w:pPr>
  </w:style>
  <w:style w:type="paragraph" w:styleId="TM6">
    <w:name w:val="toc 6"/>
    <w:basedOn w:val="Normal"/>
    <w:next w:val="Normal"/>
    <w:autoRedefine/>
    <w:uiPriority w:val="39"/>
    <w:semiHidden/>
    <w:unhideWhenUsed/>
    <w:rsid w:val="0003148D"/>
    <w:pPr>
      <w:spacing w:after="100"/>
      <w:ind w:left="1100"/>
    </w:pPr>
  </w:style>
  <w:style w:type="paragraph" w:styleId="TM7">
    <w:name w:val="toc 7"/>
    <w:basedOn w:val="Normal"/>
    <w:next w:val="Normal"/>
    <w:autoRedefine/>
    <w:uiPriority w:val="39"/>
    <w:semiHidden/>
    <w:unhideWhenUsed/>
    <w:rsid w:val="0003148D"/>
    <w:pPr>
      <w:spacing w:after="100"/>
      <w:ind w:left="1320"/>
    </w:pPr>
  </w:style>
  <w:style w:type="paragraph" w:styleId="TM8">
    <w:name w:val="toc 8"/>
    <w:basedOn w:val="Normal"/>
    <w:next w:val="Normal"/>
    <w:autoRedefine/>
    <w:uiPriority w:val="39"/>
    <w:semiHidden/>
    <w:unhideWhenUsed/>
    <w:rsid w:val="0003148D"/>
    <w:pPr>
      <w:spacing w:after="100"/>
      <w:ind w:left="1540"/>
    </w:pPr>
  </w:style>
  <w:style w:type="paragraph" w:styleId="TM9">
    <w:name w:val="toc 9"/>
    <w:basedOn w:val="Normal"/>
    <w:next w:val="Normal"/>
    <w:autoRedefine/>
    <w:uiPriority w:val="39"/>
    <w:semiHidden/>
    <w:unhideWhenUsed/>
    <w:rsid w:val="0003148D"/>
    <w:pPr>
      <w:spacing w:after="100"/>
      <w:ind w:left="1760"/>
    </w:pPr>
  </w:style>
  <w:style w:type="paragraph" w:styleId="Normalcentr">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edemacro">
    <w:name w:val="macro"/>
    <w:link w:val="Textede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edemacroCar">
    <w:name w:val="Texte de macro Car"/>
    <w:basedOn w:val="Policepardfaut"/>
    <w:link w:val="Textedemacro"/>
    <w:uiPriority w:val="99"/>
    <w:semiHidden/>
    <w:rsid w:val="0003148D"/>
    <w:rPr>
      <w:rFonts w:ascii="Consolas" w:hAnsi="Consolas" w:cs="Consolas"/>
      <w:sz w:val="20"/>
      <w:szCs w:val="20"/>
    </w:rPr>
  </w:style>
  <w:style w:type="paragraph" w:styleId="Textebrut">
    <w:name w:val="Plain Text"/>
    <w:basedOn w:val="Normal"/>
    <w:link w:val="TextebrutCar"/>
    <w:uiPriority w:val="99"/>
    <w:semiHidden/>
    <w:unhideWhenUsed/>
    <w:rsid w:val="0003148D"/>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semiHidden/>
    <w:rsid w:val="0003148D"/>
    <w:rPr>
      <w:rFonts w:ascii="Consolas" w:hAnsi="Consolas" w:cs="Consolas"/>
      <w:sz w:val="21"/>
      <w:szCs w:val="21"/>
    </w:rPr>
  </w:style>
  <w:style w:type="paragraph" w:styleId="Notedebasdepage">
    <w:name w:val="footnote text"/>
    <w:basedOn w:val="Normal"/>
    <w:link w:val="NotedebasdepageCar"/>
    <w:uiPriority w:val="99"/>
    <w:semiHidden/>
    <w:unhideWhenUsed/>
    <w:rsid w:val="0003148D"/>
    <w:pPr>
      <w:spacing w:line="240" w:lineRule="auto"/>
    </w:pPr>
  </w:style>
  <w:style w:type="character" w:customStyle="1" w:styleId="NotedebasdepageCar">
    <w:name w:val="Note de bas de page Car"/>
    <w:basedOn w:val="Policepardfaut"/>
    <w:link w:val="Notedebasdepage"/>
    <w:uiPriority w:val="99"/>
    <w:semiHidden/>
    <w:rsid w:val="0003148D"/>
    <w:rPr>
      <w:sz w:val="20"/>
      <w:szCs w:val="20"/>
    </w:rPr>
  </w:style>
  <w:style w:type="paragraph" w:styleId="Notedefin">
    <w:name w:val="endnote text"/>
    <w:basedOn w:val="Normal"/>
    <w:link w:val="NotedefinCar"/>
    <w:uiPriority w:val="99"/>
    <w:semiHidden/>
    <w:unhideWhenUsed/>
    <w:rsid w:val="0003148D"/>
    <w:pPr>
      <w:spacing w:line="240" w:lineRule="auto"/>
    </w:pPr>
  </w:style>
  <w:style w:type="character" w:customStyle="1" w:styleId="NotedefinCar">
    <w:name w:val="Note de fin Car"/>
    <w:basedOn w:val="Policepardfaut"/>
    <w:link w:val="Notedefin"/>
    <w:uiPriority w:val="99"/>
    <w:semiHidden/>
    <w:rsid w:val="0003148D"/>
    <w:rPr>
      <w:sz w:val="20"/>
      <w:szCs w:val="20"/>
    </w:rPr>
  </w:style>
  <w:style w:type="character" w:customStyle="1" w:styleId="Titre1Car">
    <w:name w:val="Titre 1 Car"/>
    <w:basedOn w:val="Policepardfaut"/>
    <w:link w:val="Titre1"/>
    <w:uiPriority w:val="9"/>
    <w:rsid w:val="004F5E36"/>
    <w:rPr>
      <w:rFonts w:ascii="Arial" w:eastAsia="Times New Roman" w:hAnsi="Arial" w:cs="Times New Roman"/>
      <w:b/>
      <w:sz w:val="20"/>
      <w:szCs w:val="20"/>
      <w:lang w:val="en-GB"/>
    </w:rPr>
  </w:style>
  <w:style w:type="character" w:customStyle="1" w:styleId="Titre2Car">
    <w:name w:val="Titre 2 Car"/>
    <w:basedOn w:val="Policepardfaut"/>
    <w:link w:val="Titre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03148D"/>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03148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03148D"/>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03148D"/>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03148D"/>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03148D"/>
    <w:rPr>
      <w:rFonts w:asciiTheme="majorHAnsi" w:eastAsiaTheme="majorEastAsia" w:hAnsiTheme="majorHAnsi" w:cstheme="majorBidi"/>
      <w:i/>
      <w:iCs/>
      <w:color w:val="404040" w:themeColor="text1" w:themeTint="BF"/>
      <w:sz w:val="20"/>
      <w:szCs w:val="20"/>
    </w:rPr>
  </w:style>
  <w:style w:type="paragraph" w:styleId="Titreindex">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En-ttedetabledesmatires">
    <w:name w:val="TOC Heading"/>
    <w:basedOn w:val="Titre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Policepardfau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tte">
    <w:name w:val="header"/>
    <w:basedOn w:val="Normal"/>
    <w:link w:val="En-tteCar"/>
    <w:uiPriority w:val="99"/>
    <w:unhideWhenUsed/>
    <w:rsid w:val="005278B7"/>
    <w:pPr>
      <w:tabs>
        <w:tab w:val="clear" w:pos="7100"/>
        <w:tab w:val="center" w:pos="4819"/>
        <w:tab w:val="right" w:pos="9638"/>
      </w:tabs>
      <w:spacing w:line="240" w:lineRule="auto"/>
    </w:pPr>
  </w:style>
  <w:style w:type="character" w:customStyle="1" w:styleId="En-tteCar">
    <w:name w:val="En-tête Car"/>
    <w:basedOn w:val="Policepardfaut"/>
    <w:link w:val="En-tte"/>
    <w:uiPriority w:val="99"/>
    <w:rsid w:val="005278B7"/>
    <w:rPr>
      <w:rFonts w:ascii="Arial" w:eastAsia="Times New Roman" w:hAnsi="Arial" w:cs="Times New Roman"/>
      <w:sz w:val="18"/>
      <w:szCs w:val="20"/>
      <w:lang w:val="en-GB"/>
    </w:rPr>
  </w:style>
  <w:style w:type="paragraph" w:styleId="Pieddepage">
    <w:name w:val="footer"/>
    <w:basedOn w:val="Normal"/>
    <w:link w:val="PieddepageCar"/>
    <w:uiPriority w:val="99"/>
    <w:unhideWhenUsed/>
    <w:rsid w:val="005278B7"/>
    <w:pPr>
      <w:tabs>
        <w:tab w:val="clear" w:pos="7100"/>
        <w:tab w:val="center" w:pos="4819"/>
        <w:tab w:val="right" w:pos="9638"/>
      </w:tabs>
      <w:spacing w:line="240" w:lineRule="auto"/>
    </w:pPr>
  </w:style>
  <w:style w:type="character" w:customStyle="1" w:styleId="PieddepageCar">
    <w:name w:val="Pied de page Car"/>
    <w:basedOn w:val="Policepardfaut"/>
    <w:link w:val="Pieddepage"/>
    <w:uiPriority w:val="99"/>
    <w:rsid w:val="005278B7"/>
    <w:rPr>
      <w:rFonts w:ascii="Arial" w:eastAsia="Times New Roman" w:hAnsi="Arial" w:cs="Times New Roman"/>
      <w:sz w:val="18"/>
      <w:szCs w:val="20"/>
      <w:lang w:val="en-GB"/>
    </w:rPr>
  </w:style>
  <w:style w:type="table" w:styleId="Grilledutableau">
    <w:name w:val="Table Grid"/>
    <w:basedOn w:val="Tableau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04C62"/>
    <w:rPr>
      <w:color w:val="0000FF" w:themeColor="hyperlink"/>
      <w:u w:val="single"/>
    </w:rPr>
  </w:style>
  <w:style w:type="character" w:customStyle="1" w:styleId="eudoraheader">
    <w:name w:val="eudoraheader"/>
    <w:basedOn w:val="Policepardfau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phedeliste">
    <w:name w:val="List Paragraph"/>
    <w:basedOn w:val="Normal"/>
    <w:uiPriority w:val="34"/>
    <w:rsid w:val="00280FAF"/>
    <w:pPr>
      <w:ind w:left="720"/>
      <w:contextualSpacing/>
    </w:pPr>
  </w:style>
  <w:style w:type="character" w:customStyle="1" w:styleId="gmail-apple-converted-space">
    <w:name w:val="gmail-apple-converted-space"/>
    <w:basedOn w:val="Policepardfaut"/>
    <w:rsid w:val="00005A19"/>
  </w:style>
  <w:style w:type="character" w:styleId="Lienhypertextesuivivisit">
    <w:name w:val="FollowedHyperlink"/>
    <w:basedOn w:val="Policepardfaut"/>
    <w:uiPriority w:val="99"/>
    <w:semiHidden/>
    <w:unhideWhenUsed/>
    <w:rsid w:val="00683326"/>
    <w:rPr>
      <w:color w:val="800080" w:themeColor="followedHyperlink"/>
      <w:u w:val="single"/>
    </w:rPr>
  </w:style>
  <w:style w:type="character" w:styleId="lev">
    <w:name w:val="Strong"/>
    <w:basedOn w:val="Policepardfaut"/>
    <w:uiPriority w:val="22"/>
    <w:qFormat/>
    <w:rsid w:val="002103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2987">
      <w:bodyDiv w:val="1"/>
      <w:marLeft w:val="0"/>
      <w:marRight w:val="0"/>
      <w:marTop w:val="0"/>
      <w:marBottom w:val="0"/>
      <w:divBdr>
        <w:top w:val="none" w:sz="0" w:space="0" w:color="auto"/>
        <w:left w:val="none" w:sz="0" w:space="0" w:color="auto"/>
        <w:bottom w:val="none" w:sz="0" w:space="0" w:color="auto"/>
        <w:right w:val="none" w:sz="0" w:space="0" w:color="auto"/>
      </w:divBdr>
    </w:div>
    <w:div w:id="185339823">
      <w:bodyDiv w:val="1"/>
      <w:marLeft w:val="0"/>
      <w:marRight w:val="0"/>
      <w:marTop w:val="0"/>
      <w:marBottom w:val="0"/>
      <w:divBdr>
        <w:top w:val="none" w:sz="0" w:space="0" w:color="auto"/>
        <w:left w:val="none" w:sz="0" w:space="0" w:color="auto"/>
        <w:bottom w:val="none" w:sz="0" w:space="0" w:color="auto"/>
        <w:right w:val="none" w:sz="0" w:space="0" w:color="auto"/>
      </w:divBdr>
    </w:div>
    <w:div w:id="503979094">
      <w:bodyDiv w:val="1"/>
      <w:marLeft w:val="0"/>
      <w:marRight w:val="0"/>
      <w:marTop w:val="0"/>
      <w:marBottom w:val="0"/>
      <w:divBdr>
        <w:top w:val="none" w:sz="0" w:space="0" w:color="auto"/>
        <w:left w:val="none" w:sz="0" w:space="0" w:color="auto"/>
        <w:bottom w:val="none" w:sz="0" w:space="0" w:color="auto"/>
        <w:right w:val="none" w:sz="0" w:space="0" w:color="auto"/>
      </w:divBdr>
    </w:div>
    <w:div w:id="752896355">
      <w:bodyDiv w:val="1"/>
      <w:marLeft w:val="0"/>
      <w:marRight w:val="0"/>
      <w:marTop w:val="0"/>
      <w:marBottom w:val="0"/>
      <w:divBdr>
        <w:top w:val="none" w:sz="0" w:space="0" w:color="auto"/>
        <w:left w:val="none" w:sz="0" w:space="0" w:color="auto"/>
        <w:bottom w:val="none" w:sz="0" w:space="0" w:color="auto"/>
        <w:right w:val="none" w:sz="0" w:space="0" w:color="auto"/>
      </w:divBdr>
      <w:divsChild>
        <w:div w:id="1877884713">
          <w:marLeft w:val="0"/>
          <w:marRight w:val="0"/>
          <w:marTop w:val="0"/>
          <w:marBottom w:val="0"/>
          <w:divBdr>
            <w:top w:val="none" w:sz="0" w:space="0" w:color="auto"/>
            <w:left w:val="none" w:sz="0" w:space="0" w:color="auto"/>
            <w:bottom w:val="none" w:sz="0" w:space="0" w:color="auto"/>
            <w:right w:val="none" w:sz="0" w:space="0" w:color="auto"/>
          </w:divBdr>
          <w:divsChild>
            <w:div w:id="1147631157">
              <w:marLeft w:val="0"/>
              <w:marRight w:val="0"/>
              <w:marTop w:val="0"/>
              <w:marBottom w:val="0"/>
              <w:divBdr>
                <w:top w:val="none" w:sz="0" w:space="0" w:color="auto"/>
                <w:left w:val="none" w:sz="0" w:space="0" w:color="auto"/>
                <w:bottom w:val="none" w:sz="0" w:space="0" w:color="auto"/>
                <w:right w:val="none" w:sz="0" w:space="0" w:color="auto"/>
              </w:divBdr>
              <w:divsChild>
                <w:div w:id="1063724290">
                  <w:marLeft w:val="0"/>
                  <w:marRight w:val="0"/>
                  <w:marTop w:val="0"/>
                  <w:marBottom w:val="0"/>
                  <w:divBdr>
                    <w:top w:val="none" w:sz="0" w:space="0" w:color="auto"/>
                    <w:left w:val="none" w:sz="0" w:space="0" w:color="auto"/>
                    <w:bottom w:val="none" w:sz="0" w:space="0" w:color="auto"/>
                    <w:right w:val="none" w:sz="0" w:space="0" w:color="auto"/>
                  </w:divBdr>
                  <w:divsChild>
                    <w:div w:id="210469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548157">
          <w:marLeft w:val="0"/>
          <w:marRight w:val="0"/>
          <w:marTop w:val="0"/>
          <w:marBottom w:val="0"/>
          <w:divBdr>
            <w:top w:val="none" w:sz="0" w:space="0" w:color="auto"/>
            <w:left w:val="none" w:sz="0" w:space="0" w:color="auto"/>
            <w:bottom w:val="none" w:sz="0" w:space="0" w:color="auto"/>
            <w:right w:val="none" w:sz="0" w:space="0" w:color="auto"/>
          </w:divBdr>
          <w:divsChild>
            <w:div w:id="391930314">
              <w:marLeft w:val="0"/>
              <w:marRight w:val="0"/>
              <w:marTop w:val="0"/>
              <w:marBottom w:val="0"/>
              <w:divBdr>
                <w:top w:val="none" w:sz="0" w:space="0" w:color="auto"/>
                <w:left w:val="none" w:sz="0" w:space="0" w:color="auto"/>
                <w:bottom w:val="none" w:sz="0" w:space="0" w:color="auto"/>
                <w:right w:val="none" w:sz="0" w:space="0" w:color="auto"/>
              </w:divBdr>
              <w:divsChild>
                <w:div w:id="865681450">
                  <w:marLeft w:val="0"/>
                  <w:marRight w:val="0"/>
                  <w:marTop w:val="0"/>
                  <w:marBottom w:val="0"/>
                  <w:divBdr>
                    <w:top w:val="none" w:sz="0" w:space="0" w:color="auto"/>
                    <w:left w:val="none" w:sz="0" w:space="0" w:color="auto"/>
                    <w:bottom w:val="none" w:sz="0" w:space="0" w:color="auto"/>
                    <w:right w:val="none" w:sz="0" w:space="0" w:color="auto"/>
                  </w:divBdr>
                  <w:divsChild>
                    <w:div w:id="87007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93212">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71207">
      <w:bodyDiv w:val="1"/>
      <w:marLeft w:val="0"/>
      <w:marRight w:val="0"/>
      <w:marTop w:val="0"/>
      <w:marBottom w:val="0"/>
      <w:divBdr>
        <w:top w:val="none" w:sz="0" w:space="0" w:color="auto"/>
        <w:left w:val="none" w:sz="0" w:space="0" w:color="auto"/>
        <w:bottom w:val="none" w:sz="0" w:space="0" w:color="auto"/>
        <w:right w:val="none" w:sz="0" w:space="0" w:color="auto"/>
      </w:divBdr>
    </w:div>
    <w:div w:id="1166895567">
      <w:bodyDiv w:val="1"/>
      <w:marLeft w:val="0"/>
      <w:marRight w:val="0"/>
      <w:marTop w:val="0"/>
      <w:marBottom w:val="0"/>
      <w:divBdr>
        <w:top w:val="none" w:sz="0" w:space="0" w:color="auto"/>
        <w:left w:val="none" w:sz="0" w:space="0" w:color="auto"/>
        <w:bottom w:val="none" w:sz="0" w:space="0" w:color="auto"/>
        <w:right w:val="none" w:sz="0" w:space="0" w:color="auto"/>
      </w:divBdr>
    </w:div>
    <w:div w:id="1248030824">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47889167">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99626660">
      <w:bodyDiv w:val="1"/>
      <w:marLeft w:val="0"/>
      <w:marRight w:val="0"/>
      <w:marTop w:val="0"/>
      <w:marBottom w:val="0"/>
      <w:divBdr>
        <w:top w:val="none" w:sz="0" w:space="0" w:color="auto"/>
        <w:left w:val="none" w:sz="0" w:space="0" w:color="auto"/>
        <w:bottom w:val="none" w:sz="0" w:space="0" w:color="auto"/>
        <w:right w:val="none" w:sz="0" w:space="0" w:color="auto"/>
      </w:divBdr>
    </w:div>
    <w:div w:id="204108430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ourari.mohammed90@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315F9-D2A1-4CB1-A22B-C69AA4DC9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10</Pages>
  <Words>10157</Words>
  <Characters>57900</Characters>
  <Application>Microsoft Office Word</Application>
  <DocSecurity>0</DocSecurity>
  <Lines>482</Lines>
  <Paragraphs>135</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67922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ira</cp:lastModifiedBy>
  <cp:revision>60</cp:revision>
  <cp:lastPrinted>2015-05-12T18:31:00Z</cp:lastPrinted>
  <dcterms:created xsi:type="dcterms:W3CDTF">2024-12-14T21:46:00Z</dcterms:created>
  <dcterms:modified xsi:type="dcterms:W3CDTF">2025-03-05T13:58:00Z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